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79" w:rsidRDefault="001A3079" w:rsidP="00177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30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Nejča</w:t>
      </w:r>
      <w:r w:rsidR="001779E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stěji kladené otázky a odpovědi</w:t>
      </w:r>
    </w:p>
    <w:p w:rsidR="001779E2" w:rsidRPr="001779E2" w:rsidRDefault="001779E2" w:rsidP="001779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ÚVOD</w:t>
      </w:r>
    </w:p>
    <w:p w:rsidR="001A3079" w:rsidRPr="00A60DA8" w:rsidRDefault="0017550F" w:rsidP="006B0A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Co b</w:t>
      </w:r>
      <w:r w:rsidR="001A3079" w:rsidRPr="00A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ude výsledkem p</w:t>
      </w:r>
      <w:r w:rsidRPr="00A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osouzení</w:t>
      </w:r>
      <w:r w:rsidR="001A3079" w:rsidRPr="00A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podkladů </w:t>
      </w:r>
      <w:r w:rsidR="00781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předložených v rámci </w:t>
      </w:r>
      <w:r w:rsidR="00B815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V</w:t>
      </w:r>
      <w:r w:rsidR="00781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ýzvy</w:t>
      </w:r>
      <w:r w:rsidR="00B815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="00B815FB" w:rsidRPr="00B815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ke sběru základních údajů o připravovaných projektových záměrech</w:t>
      </w:r>
      <w:r w:rsidRPr="00A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?</w:t>
      </w:r>
    </w:p>
    <w:p w:rsidR="001A3079" w:rsidRPr="001A3079" w:rsidRDefault="001A3079" w:rsidP="002E0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vyhodnocení </w:t>
      </w:r>
      <w:r w:rsid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819D6" w:rsidRP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ýzvy ke sběru základních údajů o připravovaných projektových záměrech (dále jen „Výzva“) </w:t>
      </w:r>
      <w:r w:rsidR="00A33F2C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vybrány projektové záměry pro poskytnutí dotace</w:t>
      </w:r>
      <w:r w:rsidR="00A33F2C"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33F2C"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z programu MŠMT</w:t>
      </w:r>
      <w:r w:rsidR="009A48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A33F2C"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3F2C" w:rsidRPr="003C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</w:t>
      </w:r>
      <w:r w:rsidR="009A4850" w:rsidRPr="003C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A33F2C" w:rsidRPr="003C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133 310 Rozvoj výukových kapacit m</w:t>
      </w:r>
      <w:r w:rsidR="003C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ateřských a </w:t>
      </w:r>
      <w:r w:rsidR="00A33F2C" w:rsidRPr="003C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základních škol zřizovaných územně samosprávnými celky</w:t>
      </w:r>
      <w:r w:rsidR="009A48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předškolního vzdělávání</w:t>
      </w:r>
      <w:r w:rsidR="00A33F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</w:t>
      </w:r>
      <w:r w:rsidR="00A33F2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3F2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podporou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Integrovaného regionálního operačníh</w:t>
      </w:r>
      <w:r w:rsidR="003C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programu na období 2014-2020, 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Prioritní osa 2, Specifi</w:t>
      </w:r>
      <w:r w:rsid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>cký cíl 2.4), Zvýšení kvality a 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dostupnosti infrastruktury pro vzdělávání a celoživotní učení (dále jen „IROP“)</w:t>
      </w:r>
      <w:r w:rsidR="00A33F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1A3079" w:rsidP="006B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tom, do kterého programu bude konkrétní projekt nakonec doporučen k financování, </w:t>
      </w:r>
      <w:r w:rsidR="003A3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rozhodne až na základě vyhodnocení doručených podkladů. </w:t>
      </w:r>
    </w:p>
    <w:p w:rsidR="00A33F2C" w:rsidRPr="00A33F2C" w:rsidRDefault="00A33F2C" w:rsidP="00A33F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3F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Vybrané žádosti pro poskytnutí dotace v roce 2016 budou zveřejněny na stránkách MŠMT </w:t>
      </w:r>
      <w:r w:rsidRPr="00A33F2C">
        <w:rPr>
          <w:rFonts w:ascii="Times New Roman" w:hAnsi="Times New Roman"/>
          <w:sz w:val="24"/>
          <w:szCs w:val="24"/>
        </w:rPr>
        <w:t>(http://www.msmt.cz/ministerstvo/fond-rozvoje-kapacit-materskych-a-zakladnich-skol)</w:t>
      </w:r>
      <w:r w:rsidRPr="00A33F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33F2C">
        <w:rPr>
          <w:rFonts w:ascii="Times New Roman" w:hAnsi="Times New Roman"/>
          <w:sz w:val="24"/>
          <w:szCs w:val="24"/>
        </w:rPr>
        <w:t>Termín pro vyhodnocení žádosti může být prodloužen v závislosti na počtu doručených žádostí.</w:t>
      </w:r>
    </w:p>
    <w:p w:rsidR="003C0EEB" w:rsidRDefault="003C0EEB" w:rsidP="002E0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žádost nebude splňovat podmínky dotačního programu, bude žadatel písemně informován o této skutečnosti. Pokud nebude žádost přijata k financování v roce 2016, postoupí do hodnocení v rámci následujících kol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3C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ýzvy programu 133 310. Pokud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3C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rámci vyhodnocení doporučen jiný způsob financování, bude žadatel o případném postoupení žádosti písemně informován (tento postup se týká zejména žádostí vyhovujících podmínkám výzev Integrovaného regionálního operačního programu). </w:t>
      </w:r>
    </w:p>
    <w:p w:rsidR="001A3079" w:rsidRPr="00A60DA8" w:rsidRDefault="001A3079" w:rsidP="006B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Co má obsahovat věcný záměr rozvoje vzdělávání v obci?</w:t>
      </w:r>
      <w:r w:rsidRPr="00A60DA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7819D6" w:rsidRDefault="007819D6" w:rsidP="002E0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úkolem vyhlášené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ýzvy je dosáhnout prostřednictvím řízené přípravy projektů co nejefektivnějšího využití budovaných kapacit v území. Výsledkem vyhodnocení těchto informací bude snaha předejít budování nadbytečných kapacit předškolního a základního vzdělávání ve spádových oblastech, ale současně napomoci zajištění dostupných kapacit mateřských a základních škol v lokalitách ohrožených nedostupností podmínek plnění povinné školní docházky. </w:t>
      </w:r>
    </w:p>
    <w:p w:rsidR="001A3079" w:rsidRPr="001A3079" w:rsidRDefault="001A3079" w:rsidP="00781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předložených podkladů bude povinnost zpracovat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ěcný záměr rozvoje vzdělávání v 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obci</w:t>
      </w:r>
      <w:r w:rsidR="00DB0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následujícími informacemi:</w:t>
      </w:r>
    </w:p>
    <w:p w:rsidR="001A3079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aléhavost řešení situace, proč dosavadní snaha o budování potřebných kapacit nebyla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dodnes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naplněna? </w:t>
      </w:r>
    </w:p>
    <w:p w:rsidR="008F1908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ýhled aktivit obce nebo svazku obcí v oblasti r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ozvoje vzdělávání v příštích 10 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kalendářních letech, demografická studie vývoje v počtu žáků za posledníc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h 10 let a v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příštích 10 letech s důrazem na naléhavost situac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e podložené konkrétními údaji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naplněnosti kapacity, podrobným rozborem demografického vývoje týka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jícího se dané věkové skupiny v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rámci školského obvodu za posledních deset let a v příštích 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deseti letech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doložením údajů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počtu narozených dětí s trval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ým pobytem ve školském obvodu a souvisejících informací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zápise pro školní docházku (např. počet odmítnutých a počet zapsaných žáků). </w:t>
      </w:r>
    </w:p>
    <w:p w:rsidR="001A3079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nalýza stávající infrastruktury (např. formou pasportizace) v oblasti vzdělávání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rozlišením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stávajících ploch 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účelu využití (kmenové učebny, odborné učebny, stravování, ostatní plochy atd.) a podle toho, zda budou nadále využívány i po vytvoření nových </w:t>
      </w:r>
      <w:r w:rsidR="009C3B7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vzdělávacích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</w:t>
      </w:r>
      <w:r w:rsidR="009C3B7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távající nebo připravované dohody o spolupráci okolních obcí při zajištění školní docházky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existují doložením v písemné podobě)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92DAF" w:rsidRDefault="00892DAF" w:rsidP="006B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79E2" w:rsidRPr="001779E2" w:rsidRDefault="003C0EEB" w:rsidP="006B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KONKRÉTNÍ </w:t>
      </w:r>
      <w:r w:rsidR="00892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OTÁZKY A ODPOVĚDI</w:t>
      </w:r>
    </w:p>
    <w:p w:rsidR="00756FDE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Vztahuje se tato </w:t>
      </w:r>
      <w:r w:rsidR="00B81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ýzva i na Prahu?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1A3079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vztahuje. </w:t>
      </w:r>
      <w:r w:rsid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mohou podávat jednotlivé městské části v souladu s „</w:t>
      </w:r>
      <w:r w:rsidR="001779E2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zá</w:t>
      </w:r>
      <w:r w:rsidR="00636B00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>vaznou vyhláškou č. 55/2000 Sb.</w:t>
      </w:r>
      <w:r w:rsidR="001779E2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hl. m. Prahy, kterou se vydává Statut hlavního města Prahy“.</w:t>
      </w:r>
      <w:r w:rsidR="00756FDE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schválení žádosti o dotaci bude nutné doložit „Usnesení</w:t>
      </w:r>
      <w:r w:rsidR="00756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</w:t>
      </w:r>
      <w:r w:rsidR="003C0E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Hlavního města</w:t>
      </w:r>
      <w:r w:rsidR="00756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Prahy k podpoře projektů spolufinancovaných z MŠMT v rámci programu „Rozvoj výukových kapacit mateřských a základních škol zřizovaných územně samosprávnými celky“. </w:t>
      </w:r>
    </w:p>
    <w:p w:rsidR="001779E2" w:rsidRPr="001779E2" w:rsidRDefault="001779E2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6FDE" w:rsidRPr="00756FDE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1908" w:rsidRDefault="008F1908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, vztahuje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. H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radit z dotace lze však pouze výdaje aktuálního rozpočtového roku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</w:t>
      </w:r>
      <w:r w:rsidR="00756FDE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zahrnuty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předchozích let - jedná se např. 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="00AA31EE" w:rsidRPr="001779E2">
        <w:rPr>
          <w:rFonts w:ascii="Times New Roman" w:eastAsia="Times New Roman" w:hAnsi="Times New Roman"/>
          <w:sz w:val="24"/>
          <w:szCs w:val="24"/>
          <w:lang w:eastAsia="cs-CZ"/>
        </w:rPr>
        <w:t>přípravu a zabezpečení akce/projektu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A31EE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které </w:t>
      </w:r>
      <w:r w:rsidRPr="001779E2">
        <w:rPr>
          <w:rFonts w:ascii="Times New Roman" w:hAnsi="Times New Roman"/>
          <w:sz w:val="24"/>
          <w:szCs w:val="24"/>
        </w:rPr>
        <w:t xml:space="preserve">bezprostředně </w:t>
      </w:r>
      <w:r w:rsidR="00C25D22" w:rsidRPr="001779E2">
        <w:rPr>
          <w:rFonts w:ascii="Times New Roman" w:hAnsi="Times New Roman"/>
          <w:sz w:val="24"/>
          <w:szCs w:val="24"/>
        </w:rPr>
        <w:t>souvisejí</w:t>
      </w:r>
      <w:r w:rsidRPr="001779E2">
        <w:rPr>
          <w:rFonts w:ascii="Times New Roman" w:hAnsi="Times New Roman"/>
          <w:sz w:val="24"/>
          <w:szCs w:val="24"/>
        </w:rPr>
        <w:t xml:space="preserve"> </w:t>
      </w:r>
      <w:r w:rsidR="00AA31EE" w:rsidRPr="001779E2">
        <w:rPr>
          <w:rFonts w:ascii="Times New Roman" w:hAnsi="Times New Roman"/>
          <w:sz w:val="24"/>
          <w:szCs w:val="24"/>
        </w:rPr>
        <w:t>s věcným obsahem předkládané</w:t>
      </w:r>
      <w:r w:rsidRPr="001779E2">
        <w:rPr>
          <w:rFonts w:ascii="Times New Roman" w:hAnsi="Times New Roman"/>
          <w:sz w:val="24"/>
          <w:szCs w:val="24"/>
        </w:rPr>
        <w:t xml:space="preserve"> </w:t>
      </w:r>
      <w:r w:rsidR="00AA31EE" w:rsidRPr="001779E2">
        <w:rPr>
          <w:rFonts w:ascii="Times New Roman" w:hAnsi="Times New Roman"/>
          <w:sz w:val="24"/>
          <w:szCs w:val="24"/>
        </w:rPr>
        <w:t>žádosti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B2A10"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akce/projekty, které budou ukončeny před datem podání žádosti.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V případě stavby </w:t>
      </w:r>
      <w:r w:rsidR="00C25D22" w:rsidRPr="001779E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>se termínem ukončení realizace akce/projektu rozumí</w:t>
      </w:r>
      <w:r w:rsidR="003C0EEB">
        <w:rPr>
          <w:rFonts w:ascii="Times New Roman" w:eastAsia="Times New Roman" w:hAnsi="Times New Roman"/>
          <w:sz w:val="24"/>
          <w:szCs w:val="24"/>
          <w:lang w:eastAsia="cs-CZ"/>
        </w:rPr>
        <w:t xml:space="preserve"> den, kdy byl sepsán protokol o 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>předání a převzetí stavby, a to bez vad a nedodělků bránících v užívání. V případě, že se nejedná o stavbu, je za termín ukončení realizace považován termín převzetí věci nebo jiný úkon.</w:t>
      </w:r>
    </w:p>
    <w:p w:rsidR="00756FDE" w:rsidRPr="001779E2" w:rsidRDefault="00756FDE" w:rsidP="00756FDE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možné se do Výzvy přihlásit, pokud chci navýšit kapacitu učebny</w:t>
      </w:r>
      <w:r w:rsidR="00626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604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základní školy </w:t>
      </w:r>
      <w:r w:rsidR="00626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nebo </w:t>
      </w:r>
      <w:r w:rsidR="00604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mateřské školy</w:t>
      </w:r>
      <w:r w:rsidR="00626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menší počet míst, než je uvedeno v textu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1A3079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Rozšíření kapacit musí odpovídat parametrům pro nejnižší počet </w:t>
      </w:r>
      <w:r w:rsidR="00626E61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 nebo dětí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stanovený příslušnou vyhláškou pro daný stupeň vzdělání. </w:t>
      </w:r>
    </w:p>
    <w:p w:rsidR="00756FDE" w:rsidRPr="001779E2" w:rsidRDefault="00756FDE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</w:t>
      </w:r>
      <w:r w:rsidR="001F7AFF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mil.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0B2A10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 se přihlásit. </w:t>
      </w:r>
    </w:p>
    <w:p w:rsidR="00756FDE" w:rsidRPr="001779E2" w:rsidRDefault="00756FDE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9E3" w:rsidRPr="004F59E3" w:rsidRDefault="003C0EEB" w:rsidP="003C0EEB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3C0EEB" w:rsidRDefault="003C0EEB" w:rsidP="004F59E3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Neinvestiční výdaje mohou být hrazeny z dotace. Jedná se zejména o dodávky interiérového vybavení bezprostředně související s vybudovanou kapacitou, např. mobiliář, IT vybavení, apod.</w:t>
      </w:r>
    </w:p>
    <w:p w:rsidR="004F59E3" w:rsidRDefault="004F59E3" w:rsidP="004F59E3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1A3079" w:rsidRPr="001779E2" w:rsidRDefault="001A3079" w:rsidP="003C0EEB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Mohu se do Výzvy přihlásit, pokud potřebuji 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pouze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1A3079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Financovat bude možné pouze základní prvotní vybavení dané investice. </w:t>
      </w:r>
      <w:r w:rsidR="004255A1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 za tímto účelem</w:t>
      </w:r>
      <w:r w:rsid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25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zahrnutím této problematiky do místních (krajských) akčních plánů rozvoje vzdělávání</w:t>
      </w:r>
      <w:r w:rsid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bookmarkStart w:id="0" w:name="_GoBack"/>
      <w:bookmarkEnd w:id="0"/>
      <w:r w:rsid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využít podporu z jiných dotačních titulů především operačních programů Evropské unie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F59E3" w:rsidRPr="001779E2" w:rsidRDefault="004F59E3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Mohu se přihlásit do Výzvy, pokud potřebuji zvýšit kapacitu pouze družiny, 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jídelny,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dílen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apod.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779E2" w:rsidRDefault="001A3079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kmenových učeben. Družiny, jídelny, odborné učebny, apod. mohou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kryty z dotace jen</w:t>
      </w:r>
      <w:r w:rsidR="006B0ACD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jsou v rámci projektového záměru doplňkovými </w:t>
      </w:r>
      <w:r w:rsidR="00DD6E85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kapacitami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bezprostředně souvisejícími s navyšovanou kapacitou kmenových učeben.</w:t>
      </w:r>
    </w:p>
    <w:p w:rsidR="001779E2" w:rsidRPr="001779E2" w:rsidRDefault="001779E2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 w:rsidR="0012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</w:t>
      </w:r>
      <w:r w:rsidR="00B81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fyzická nebo </w:t>
      </w:r>
      <w:r w:rsidR="0012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6B0ACD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Výzva se týká pouze škol a školských zařízení zřizovaných územn</w:t>
      </w:r>
      <w:r w:rsidR="00124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samosprávnými celky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124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svazky obcí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E5C0B" w:rsidRDefault="000E5C0B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691A" w:rsidRPr="009C3B78" w:rsidRDefault="009C3B78" w:rsidP="009C3B78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spolufinancování se předpokládá zapojení především zdrojů obecních rozpočtů. Vlastními zdroji jsou zdroje obecního rozpočtu a fondu investic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školské právnické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rámci ostatních zdrojů mohou být zapojeny např. zdroje krajských rozpočtů a jiných dotačních titulů (např.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programů Ministerstva životního prostředí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 Použité typy zdrojů spolufinancování v projektovém záměru vysvětlete.</w:t>
      </w:r>
    </w:p>
    <w:p w:rsid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B78" w:rsidRPr="009C3B78" w:rsidRDefault="009C3B78" w:rsidP="009C3B78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9C3B78" w:rsidRP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 w:rsid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="00291B34"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Jestliže ji do něj zahrnula a nárok na odpočet uplatnila až poté, je povinna do měsíce od uplatnění nároku odvést částku odpočtu na účet finančního vypořádání.</w:t>
      </w:r>
      <w:r w:rsid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EB691A" w:rsidRDefault="00EB691A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0E4E" w:rsidRPr="009C3B78" w:rsidRDefault="002E0E4E" w:rsidP="002E0E4E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C37EB2" w:rsidRDefault="002E0E4E" w:rsidP="00892DAF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především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dotac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poskytnut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Ministerstvem životního prostředí na opatření k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energetickýcm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úsporám (např. zateplení obvodových plášťů, apod.). Poskytnout do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z programu MŠMT je možné, ale příjemce dotace v plném rozsahu zodpovídá za dodržení podmínek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příslušného dotačního titulu vč.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pravidel udržitelnosti 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</w:t>
      </w:r>
      <w:r w:rsidR="005459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92DAF">
        <w:t xml:space="preserve"> </w:t>
      </w:r>
    </w:p>
    <w:p w:rsidR="001779E2" w:rsidRDefault="001779E2" w:rsidP="006B0ACD">
      <w:pPr>
        <w:jc w:val="both"/>
      </w:pPr>
    </w:p>
    <w:sectPr w:rsidR="0017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53C"/>
    <w:multiLevelType w:val="hybridMultilevel"/>
    <w:tmpl w:val="32681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5EED"/>
    <w:multiLevelType w:val="hybridMultilevel"/>
    <w:tmpl w:val="ECFE6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1954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004E"/>
    <w:multiLevelType w:val="hybridMultilevel"/>
    <w:tmpl w:val="ACDC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9"/>
    <w:rsid w:val="000B2A10"/>
    <w:rsid w:val="000D1406"/>
    <w:rsid w:val="000E5C0B"/>
    <w:rsid w:val="00124132"/>
    <w:rsid w:val="0017550F"/>
    <w:rsid w:val="001779E2"/>
    <w:rsid w:val="001A3079"/>
    <w:rsid w:val="001F7AFF"/>
    <w:rsid w:val="002752AC"/>
    <w:rsid w:val="00291B34"/>
    <w:rsid w:val="002D38AF"/>
    <w:rsid w:val="002E099D"/>
    <w:rsid w:val="002E0E4E"/>
    <w:rsid w:val="00337AD3"/>
    <w:rsid w:val="00354351"/>
    <w:rsid w:val="003A36B3"/>
    <w:rsid w:val="003C0EEB"/>
    <w:rsid w:val="003E0183"/>
    <w:rsid w:val="004255A1"/>
    <w:rsid w:val="00451C22"/>
    <w:rsid w:val="004F59E3"/>
    <w:rsid w:val="00522B2D"/>
    <w:rsid w:val="005459D5"/>
    <w:rsid w:val="00604FF2"/>
    <w:rsid w:val="00626E61"/>
    <w:rsid w:val="00636B00"/>
    <w:rsid w:val="0066132A"/>
    <w:rsid w:val="00692F70"/>
    <w:rsid w:val="006B0ACD"/>
    <w:rsid w:val="00756FDE"/>
    <w:rsid w:val="007819D6"/>
    <w:rsid w:val="00830DC2"/>
    <w:rsid w:val="00870DDA"/>
    <w:rsid w:val="00892DAF"/>
    <w:rsid w:val="008F1908"/>
    <w:rsid w:val="00903103"/>
    <w:rsid w:val="00914021"/>
    <w:rsid w:val="009634E9"/>
    <w:rsid w:val="009A4850"/>
    <w:rsid w:val="009C3B78"/>
    <w:rsid w:val="00A33F2C"/>
    <w:rsid w:val="00A60DA8"/>
    <w:rsid w:val="00AA31EE"/>
    <w:rsid w:val="00B4050F"/>
    <w:rsid w:val="00B815FB"/>
    <w:rsid w:val="00C25D22"/>
    <w:rsid w:val="00C37EB2"/>
    <w:rsid w:val="00DB0000"/>
    <w:rsid w:val="00DD6E85"/>
    <w:rsid w:val="00E03FF6"/>
    <w:rsid w:val="00E8396A"/>
    <w:rsid w:val="00E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D38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8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D38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8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Kurfürstová Yveta</dc:creator>
  <cp:lastModifiedBy>Kurfürstová Yveta</cp:lastModifiedBy>
  <cp:revision>9</cp:revision>
  <cp:lastPrinted>2015-10-02T06:35:00Z</cp:lastPrinted>
  <dcterms:created xsi:type="dcterms:W3CDTF">2015-10-05T11:48:00Z</dcterms:created>
  <dcterms:modified xsi:type="dcterms:W3CDTF">2015-10-13T09:04:00Z</dcterms:modified>
</cp:coreProperties>
</file>