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75" w:rsidRPr="00312775" w:rsidRDefault="00312775" w:rsidP="00312775">
      <w:pPr>
        <w:spacing w:after="0" w:line="240" w:lineRule="auto"/>
        <w:ind w:left="7080" w:firstLine="708"/>
        <w:jc w:val="both"/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 xml:space="preserve">Příloha č. 2  </w:t>
      </w:r>
    </w:p>
    <w:p w:rsidR="00312775" w:rsidRPr="00312775" w:rsidRDefault="00312775" w:rsidP="00312775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b/>
          <w:iCs w:val="0"/>
          <w:spacing w:val="8"/>
          <w:kern w:val="28"/>
          <w:sz w:val="24"/>
          <w:szCs w:val="24"/>
          <w:lang w:eastAsia="cs-CZ"/>
        </w:rPr>
        <w:t>Podrobný popis projektu</w:t>
      </w:r>
    </w:p>
    <w:p w:rsidR="00312775" w:rsidRPr="00312775" w:rsidRDefault="00312775" w:rsidP="00312775">
      <w:p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Souhrnný popis projektu, který musí obsahovat položky uvedené dále v odrážkách (doporučuje se uvádět výstižná vyjádření):</w:t>
      </w:r>
    </w:p>
    <w:p w:rsidR="00312775" w:rsidRPr="00312775" w:rsidRDefault="00312775" w:rsidP="00312775">
      <w:pPr>
        <w:numPr>
          <w:ilvl w:val="0"/>
          <w:numId w:val="3"/>
        </w:numPr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název žádající organizace, název projektu;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vymezení tematického okruhu, který bude projekt realizovat;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hlavní a dílčí cíle projektu; stručný popis problému, který projekt řeší (cíle musí být měřitelné);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souvislost projektu s ostatní činností organizace (např. zkušenosti realizátora v této oblasti, odkaz na další realizované projekty, apod.) – pouze stručně, možné odkázat na podrobnější rozpracování tohoto bodu ve výroční zprávě případně v dokladu o předchozí činnosti;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cílová skupina projektu, včetně počtu přímých a nepřímých příjemců pomoci v projektu; zdůvodnění a předpokládaný přínos projektu a jeho částí pro cílovou skupinu; 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pokud se jedná o pokračující projekt, je nutné uvést stručné vyhodnocení jeho dosavadní realizace;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podrobný popis jednotlivých tematických okruhů projektu. </w:t>
      </w: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 xml:space="preserve">U každého tematického </w:t>
      </w:r>
      <w:proofErr w:type="gramStart"/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>okruhu  budou</w:t>
      </w:r>
      <w:proofErr w:type="gramEnd"/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 xml:space="preserve"> stanovena kritéria (tj. indikátory - kvalitativní i kvantitativní, jichž bude realizací aktivity dosaženo; kritéria si každý žadatel stanovuje sám tak, aby maximálně vypovídala o úspěšnosti realizace aktivity);</w:t>
      </w: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</w:t>
      </w: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>u projektů, u nichž je to možné, uveďte předpokládaný počet účastníků a délku trvání akce či akcí (</w:t>
      </w: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podle těchto kritérií bude projekt hodnocen ve vyúčtování podaném po ukončení projektu</w:t>
      </w: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>);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délku trvání projektu (termín zahájení a termín ukončení) a harmonogram realizace jednotlivých aktivit);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personální zabezpečení projektu - popis pracovních pozic </w:t>
      </w: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>(včetně kvalifikačních předpokladů);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materiální zabezpečení projektu, prostorové podmínky;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důkladné zdůvodnění položek rozpočtu (viz Příloha č. 3); 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další témata, která projekt realizuje - zejména vliv realizace projektu na podporu lidských práv (např. rovných příležitostí ve vzdělávání a podporu inkluzivního vzdělávání); </w:t>
      </w: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b/>
          <w:iCs w:val="0"/>
          <w:sz w:val="24"/>
          <w:szCs w:val="24"/>
          <w:lang w:eastAsia="cs-CZ"/>
        </w:rPr>
        <w:t>je-li výstupem projektu výukový materiál pro žáky, je nezbytné:</w:t>
      </w:r>
    </w:p>
    <w:p w:rsidR="00312775" w:rsidRPr="00312775" w:rsidRDefault="00312775" w:rsidP="0031277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předložit posudek od odborníka renomovaného na problematiku vzdělávání k tomuto materiálu (nebo záměru materiál vytvořit) v délce nejméně jedné normostrany; </w:t>
      </w:r>
    </w:p>
    <w:p w:rsidR="00312775" w:rsidRPr="00312775" w:rsidRDefault="00312775" w:rsidP="0031277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základní údaje o materiálu (stručný obsah, počet výtisků, formát a počet stran, předkalkulace nákladů na tisk, distribuce, honoráře);</w:t>
      </w:r>
    </w:p>
    <w:p w:rsidR="00312775" w:rsidRPr="00312775" w:rsidRDefault="00312775" w:rsidP="0031277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je-li výstupem projektu distribuce nebo tisk již hotového výukového materiálu pro žáky, je nezbytné předložit kompletní rukopis;</w:t>
      </w:r>
    </w:p>
    <w:p w:rsidR="00312775" w:rsidRPr="00312775" w:rsidRDefault="00312775" w:rsidP="00312775">
      <w:pPr>
        <w:spacing w:before="120" w:after="0" w:line="240" w:lineRule="auto"/>
        <w:ind w:left="78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12775" w:rsidRPr="00312775" w:rsidRDefault="00312775" w:rsidP="00312775">
      <w:pPr>
        <w:spacing w:before="120" w:after="0" w:line="240" w:lineRule="auto"/>
        <w:ind w:left="786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</w:p>
    <w:p w:rsidR="00312775" w:rsidRPr="00312775" w:rsidRDefault="00312775" w:rsidP="00312775">
      <w:pPr>
        <w:numPr>
          <w:ilvl w:val="0"/>
          <w:numId w:val="2"/>
        </w:numPr>
        <w:tabs>
          <w:tab w:val="num" w:pos="142"/>
        </w:tabs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iCs w:val="0"/>
          <w:sz w:val="24"/>
          <w:szCs w:val="24"/>
          <w:lang w:eastAsia="cs-CZ"/>
        </w:rPr>
      </w:pPr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veškeré další podstatné údaje o projektu, zejména informace o tom, jakým způsobem bude prezentována dotace ministerstva ve výstupech projektu (na výstupech projektu je nutno uvést, že byl projekt podpořen z dotačního programu MŠMT na podporu integrace romské menšiny</w:t>
      </w:r>
      <w:r w:rsidR="0037284B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 xml:space="preserve"> – II. kolo</w:t>
      </w:r>
      <w:bookmarkStart w:id="0" w:name="_GoBack"/>
      <w:bookmarkEnd w:id="0"/>
      <w:r w:rsidRPr="00312775">
        <w:rPr>
          <w:rFonts w:ascii="Calibri" w:eastAsia="Times New Roman" w:hAnsi="Calibri" w:cs="Times New Roman"/>
          <w:iCs w:val="0"/>
          <w:sz w:val="24"/>
          <w:szCs w:val="24"/>
          <w:lang w:eastAsia="cs-CZ"/>
        </w:rPr>
        <w:t>).</w:t>
      </w:r>
    </w:p>
    <w:p w:rsidR="0056183C" w:rsidRDefault="0056183C" w:rsidP="00312775"/>
    <w:sectPr w:rsidR="00561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5" w:rsidRDefault="00FF61F5" w:rsidP="00312775">
      <w:pPr>
        <w:spacing w:after="0" w:line="240" w:lineRule="auto"/>
      </w:pPr>
      <w:r>
        <w:separator/>
      </w:r>
    </w:p>
  </w:endnote>
  <w:endnote w:type="continuationSeparator" w:id="0">
    <w:p w:rsidR="00FF61F5" w:rsidRDefault="00FF61F5" w:rsidP="0031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33429"/>
      <w:docPartObj>
        <w:docPartGallery w:val="Page Numbers (Bottom of Page)"/>
        <w:docPartUnique/>
      </w:docPartObj>
    </w:sdtPr>
    <w:sdtEndPr/>
    <w:sdtContent>
      <w:p w:rsidR="00312775" w:rsidRDefault="003127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4B">
          <w:rPr>
            <w:noProof/>
          </w:rPr>
          <w:t>2</w:t>
        </w:r>
        <w:r>
          <w:fldChar w:fldCharType="end"/>
        </w:r>
      </w:p>
    </w:sdtContent>
  </w:sdt>
  <w:p w:rsidR="00312775" w:rsidRDefault="00312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5" w:rsidRDefault="00FF61F5" w:rsidP="00312775">
      <w:pPr>
        <w:spacing w:after="0" w:line="240" w:lineRule="auto"/>
      </w:pPr>
      <w:r>
        <w:separator/>
      </w:r>
    </w:p>
  </w:footnote>
  <w:footnote w:type="continuationSeparator" w:id="0">
    <w:p w:rsidR="00FF61F5" w:rsidRDefault="00FF61F5" w:rsidP="0031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5558"/>
    <w:multiLevelType w:val="hybridMultilevel"/>
    <w:tmpl w:val="D374C2BE"/>
    <w:lvl w:ilvl="0" w:tplc="11A89D4C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5"/>
    <w:rsid w:val="001246CA"/>
    <w:rsid w:val="001C7B6B"/>
    <w:rsid w:val="00312775"/>
    <w:rsid w:val="0037284B"/>
    <w:rsid w:val="0056183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75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75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75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31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75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2</cp:revision>
  <dcterms:created xsi:type="dcterms:W3CDTF">2017-06-30T08:03:00Z</dcterms:created>
  <dcterms:modified xsi:type="dcterms:W3CDTF">2017-07-03T10:26:00Z</dcterms:modified>
</cp:coreProperties>
</file>