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F8" w:rsidRPr="003019C0" w:rsidRDefault="00B82DCF" w:rsidP="00FD7886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 w:rsidRPr="003019C0">
        <w:rPr>
          <w:rFonts w:eastAsiaTheme="majorEastAsia" w:cstheme="majorBidi"/>
          <w:b/>
          <w:bCs/>
          <w:color w:val="003399"/>
          <w:sz w:val="28"/>
          <w:szCs w:val="28"/>
        </w:rPr>
        <w:t>Metodický výklad</w:t>
      </w:r>
    </w:p>
    <w:p w:rsidR="00B82DCF" w:rsidRPr="003019C0" w:rsidRDefault="00864419" w:rsidP="00FD7886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rFonts w:eastAsiaTheme="majorEastAsia" w:cstheme="majorBidi"/>
          <w:b/>
          <w:bCs/>
          <w:color w:val="003399"/>
          <w:sz w:val="28"/>
          <w:szCs w:val="28"/>
        </w:rPr>
        <w:t xml:space="preserve">Dokladování </w:t>
      </w:r>
      <w:r w:rsidR="0079275C">
        <w:rPr>
          <w:rFonts w:eastAsiaTheme="majorEastAsia" w:cstheme="majorBidi"/>
          <w:b/>
          <w:bCs/>
          <w:color w:val="003399"/>
          <w:sz w:val="28"/>
          <w:szCs w:val="28"/>
        </w:rPr>
        <w:t xml:space="preserve">výdajů </w:t>
      </w:r>
      <w:r w:rsidR="000351E9">
        <w:rPr>
          <w:rFonts w:eastAsiaTheme="majorEastAsia" w:cstheme="majorBidi"/>
          <w:b/>
          <w:bCs/>
          <w:color w:val="003399"/>
          <w:sz w:val="28"/>
          <w:szCs w:val="28"/>
        </w:rPr>
        <w:t>na příspěvek na</w:t>
      </w:r>
      <w:r w:rsidR="00362324">
        <w:rPr>
          <w:rFonts w:eastAsiaTheme="majorEastAsia" w:cstheme="majorBidi"/>
          <w:b/>
          <w:bCs/>
          <w:color w:val="003399"/>
          <w:sz w:val="28"/>
          <w:szCs w:val="28"/>
        </w:rPr>
        <w:t xml:space="preserve"> stravování</w:t>
      </w:r>
      <w:r w:rsidR="000351E9">
        <w:rPr>
          <w:rFonts w:eastAsiaTheme="majorEastAsia" w:cstheme="majorBidi"/>
          <w:b/>
          <w:bCs/>
          <w:color w:val="003399"/>
          <w:sz w:val="28"/>
          <w:szCs w:val="28"/>
        </w:rPr>
        <w:t xml:space="preserve"> </w:t>
      </w:r>
      <w:r w:rsidR="0079275C">
        <w:rPr>
          <w:rFonts w:eastAsiaTheme="majorEastAsia" w:cstheme="majorBidi"/>
          <w:b/>
          <w:bCs/>
          <w:color w:val="003399"/>
          <w:sz w:val="28"/>
          <w:szCs w:val="28"/>
        </w:rPr>
        <w:t xml:space="preserve">v rámci </w:t>
      </w:r>
      <w:r w:rsidR="003650EC">
        <w:rPr>
          <w:rFonts w:eastAsiaTheme="majorEastAsia" w:cstheme="majorBidi"/>
          <w:b/>
          <w:bCs/>
          <w:color w:val="003399"/>
          <w:sz w:val="28"/>
          <w:szCs w:val="28"/>
        </w:rPr>
        <w:t xml:space="preserve">přímých </w:t>
      </w:r>
      <w:r>
        <w:rPr>
          <w:rFonts w:eastAsiaTheme="majorEastAsia" w:cstheme="majorBidi"/>
          <w:b/>
          <w:bCs/>
          <w:color w:val="003399"/>
          <w:sz w:val="28"/>
          <w:szCs w:val="28"/>
        </w:rPr>
        <w:t xml:space="preserve">výdajů </w:t>
      </w:r>
      <w:r w:rsidR="003650EC">
        <w:rPr>
          <w:rFonts w:eastAsiaTheme="majorEastAsia" w:cstheme="majorBidi"/>
          <w:b/>
          <w:bCs/>
          <w:color w:val="003399"/>
          <w:sz w:val="28"/>
          <w:szCs w:val="28"/>
        </w:rPr>
        <w:t>proj</w:t>
      </w:r>
      <w:r w:rsidR="0079275C">
        <w:rPr>
          <w:rFonts w:eastAsiaTheme="majorEastAsia" w:cstheme="majorBidi"/>
          <w:b/>
          <w:bCs/>
          <w:color w:val="003399"/>
          <w:sz w:val="28"/>
          <w:szCs w:val="28"/>
        </w:rPr>
        <w:t xml:space="preserve">ektů </w:t>
      </w:r>
      <w:r>
        <w:rPr>
          <w:rFonts w:eastAsiaTheme="majorEastAsia" w:cstheme="majorBidi"/>
          <w:b/>
          <w:bCs/>
          <w:color w:val="003399"/>
          <w:sz w:val="28"/>
          <w:szCs w:val="28"/>
        </w:rPr>
        <w:t>OP VVV</w:t>
      </w:r>
    </w:p>
    <w:p w:rsidR="00011874" w:rsidRPr="003019C0" w:rsidRDefault="00011874" w:rsidP="00362324">
      <w:pPr>
        <w:spacing w:line="276" w:lineRule="auto"/>
        <w:jc w:val="both"/>
        <w:rPr>
          <w:rFonts w:cs="Arial"/>
        </w:rPr>
      </w:pPr>
      <w:r w:rsidRPr="003019C0" w:rsidDel="00FB182F">
        <w:rPr>
          <w:rFonts w:cs="Arial"/>
        </w:rPr>
        <w:t xml:space="preserve"> </w:t>
      </w:r>
    </w:p>
    <w:p w:rsidR="004C3846" w:rsidRDefault="003268F8">
      <w:pPr>
        <w:spacing w:line="276" w:lineRule="auto"/>
        <w:jc w:val="both"/>
        <w:rPr>
          <w:rFonts w:cs="Arial"/>
        </w:rPr>
      </w:pPr>
      <w:r w:rsidRPr="003019C0">
        <w:rPr>
          <w:rFonts w:cs="Arial"/>
        </w:rPr>
        <w:t xml:space="preserve">Tento metodický výklad </w:t>
      </w:r>
      <w:r w:rsidR="001414D3" w:rsidRPr="003019C0">
        <w:rPr>
          <w:rFonts w:cs="Arial"/>
        </w:rPr>
        <w:t>popisuje</w:t>
      </w:r>
      <w:r w:rsidR="004C3846">
        <w:rPr>
          <w:rFonts w:cs="Arial"/>
        </w:rPr>
        <w:t xml:space="preserve"> způsob dokladování </w:t>
      </w:r>
      <w:r w:rsidR="00E9541F">
        <w:rPr>
          <w:rFonts w:cs="Arial"/>
        </w:rPr>
        <w:t xml:space="preserve">přímých způsobilých </w:t>
      </w:r>
      <w:r w:rsidR="004C3846">
        <w:rPr>
          <w:rFonts w:cs="Arial"/>
        </w:rPr>
        <w:t xml:space="preserve">výdajů projektu – </w:t>
      </w:r>
      <w:r w:rsidR="00461465">
        <w:rPr>
          <w:rFonts w:cs="Arial"/>
        </w:rPr>
        <w:t xml:space="preserve">příspěvků </w:t>
      </w:r>
      <w:r w:rsidR="000351E9">
        <w:rPr>
          <w:rFonts w:cs="Arial"/>
        </w:rPr>
        <w:t xml:space="preserve">na </w:t>
      </w:r>
      <w:r w:rsidR="00362324">
        <w:rPr>
          <w:rFonts w:cs="Arial"/>
        </w:rPr>
        <w:t>stravování</w:t>
      </w:r>
      <w:r w:rsidR="000351E9">
        <w:rPr>
          <w:rFonts w:cs="Arial"/>
        </w:rPr>
        <w:t>, např. poskytovaný</w:t>
      </w:r>
      <w:r w:rsidR="00461465">
        <w:rPr>
          <w:rFonts w:cs="Arial"/>
        </w:rPr>
        <w:t>ch</w:t>
      </w:r>
      <w:r w:rsidR="000351E9">
        <w:rPr>
          <w:rFonts w:cs="Arial"/>
        </w:rPr>
        <w:t xml:space="preserve"> formou příspěvku k ceně </w:t>
      </w:r>
      <w:r w:rsidR="004C3846">
        <w:rPr>
          <w:rFonts w:cs="Arial"/>
        </w:rPr>
        <w:t>stravenk</w:t>
      </w:r>
      <w:r w:rsidR="000351E9">
        <w:rPr>
          <w:rFonts w:cs="Arial"/>
        </w:rPr>
        <w:t>y</w:t>
      </w:r>
      <w:r w:rsidR="006A1579">
        <w:rPr>
          <w:rFonts w:cs="Arial"/>
        </w:rPr>
        <w:t>.</w:t>
      </w:r>
      <w:r w:rsidR="000351E9">
        <w:rPr>
          <w:rFonts w:cs="Arial"/>
        </w:rPr>
        <w:t xml:space="preserve"> Tento příspěvek </w:t>
      </w:r>
      <w:r w:rsidR="00866D97">
        <w:rPr>
          <w:rFonts w:cs="Arial"/>
        </w:rPr>
        <w:t>je poskytován</w:t>
      </w:r>
      <w:r w:rsidR="002331BD">
        <w:rPr>
          <w:rFonts w:cs="Arial"/>
        </w:rPr>
        <w:t xml:space="preserve"> </w:t>
      </w:r>
      <w:r w:rsidR="004C3846">
        <w:rPr>
          <w:rFonts w:cs="Arial"/>
        </w:rPr>
        <w:t>člen</w:t>
      </w:r>
      <w:r w:rsidR="00BD158E">
        <w:rPr>
          <w:rFonts w:cs="Arial"/>
        </w:rPr>
        <w:t>ům realizačního týmu projektu</w:t>
      </w:r>
      <w:r w:rsidR="002331BD">
        <w:rPr>
          <w:rFonts w:cs="Arial"/>
        </w:rPr>
        <w:t>, jejichž mzdové/platové náklady jsou hrazeny z přímých výdajů projektu.</w:t>
      </w:r>
    </w:p>
    <w:p w:rsidR="000351E9" w:rsidRDefault="000351E9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Příspěvek na </w:t>
      </w:r>
      <w:r w:rsidR="00362324">
        <w:rPr>
          <w:rFonts w:cs="Arial"/>
        </w:rPr>
        <w:t>stravování</w:t>
      </w:r>
      <w:r w:rsidR="002331BD">
        <w:rPr>
          <w:rFonts w:cs="Arial"/>
        </w:rPr>
        <w:t>, kter</w:t>
      </w:r>
      <w:r>
        <w:rPr>
          <w:rFonts w:cs="Arial"/>
        </w:rPr>
        <w:t>ý</w:t>
      </w:r>
      <w:r w:rsidR="002331BD">
        <w:rPr>
          <w:rFonts w:cs="Arial"/>
        </w:rPr>
        <w:t xml:space="preserve"> j</w:t>
      </w:r>
      <w:r>
        <w:rPr>
          <w:rFonts w:cs="Arial"/>
        </w:rPr>
        <w:t>e</w:t>
      </w:r>
      <w:r w:rsidR="002331BD">
        <w:rPr>
          <w:rFonts w:cs="Arial"/>
        </w:rPr>
        <w:t xml:space="preserve"> poskytován členům realizačního týmu projektu, jejichž mzdové/platové výdaje jsou hrazeny </w:t>
      </w:r>
      <w:r w:rsidR="0079275C">
        <w:rPr>
          <w:rFonts w:cs="Arial"/>
        </w:rPr>
        <w:t>plně nebo částečně</w:t>
      </w:r>
      <w:r w:rsidR="002331BD">
        <w:rPr>
          <w:rFonts w:cs="Arial"/>
        </w:rPr>
        <w:t xml:space="preserve"> z přímých výdajů rozpoč</w:t>
      </w:r>
      <w:r w:rsidR="00864852">
        <w:rPr>
          <w:rFonts w:cs="Arial"/>
        </w:rPr>
        <w:t>tu projektu, lze obecně považovat za způsobil</w:t>
      </w:r>
      <w:r>
        <w:rPr>
          <w:rFonts w:cs="Arial"/>
        </w:rPr>
        <w:t>ý</w:t>
      </w:r>
      <w:r w:rsidR="00864852">
        <w:rPr>
          <w:rFonts w:cs="Arial"/>
        </w:rPr>
        <w:t>, pokud se jedná o obligatorní výdaj, které je zaměstnavatel povinen zaměstnancům poskytovat na základě právního předpisu, vnitřního předpisu zaměstnavatele či</w:t>
      </w:r>
      <w:r w:rsidR="00785E5C">
        <w:rPr>
          <w:rFonts w:cs="Arial"/>
        </w:rPr>
        <w:t> </w:t>
      </w:r>
      <w:r w:rsidR="00864852" w:rsidRPr="00864852">
        <w:rPr>
          <w:rFonts w:cs="Arial"/>
        </w:rPr>
        <w:t>kolektivní smlouv</w:t>
      </w:r>
      <w:r w:rsidR="00864852">
        <w:rPr>
          <w:rFonts w:cs="Arial"/>
        </w:rPr>
        <w:t>y.</w:t>
      </w:r>
      <w:r w:rsidR="00EB4DB1">
        <w:rPr>
          <w:rFonts w:cs="Arial"/>
        </w:rPr>
        <w:t xml:space="preserve"> </w:t>
      </w:r>
    </w:p>
    <w:p w:rsidR="00BD158E" w:rsidRDefault="00092DF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Tyto </w:t>
      </w:r>
      <w:r w:rsidR="000351E9">
        <w:rPr>
          <w:rFonts w:cs="Arial"/>
        </w:rPr>
        <w:t>v</w:t>
      </w:r>
      <w:r w:rsidR="00EB4DB1">
        <w:rPr>
          <w:rFonts w:cs="Arial"/>
        </w:rPr>
        <w:t>ýdaje lze do projektu uplatnit pouze v alikvótní výši s ohledem na výši úvazku</w:t>
      </w:r>
      <w:r w:rsidR="005865C6">
        <w:rPr>
          <w:rFonts w:cs="Arial"/>
        </w:rPr>
        <w:t xml:space="preserve"> zaměstnance</w:t>
      </w:r>
      <w:r w:rsidR="00785E5C">
        <w:rPr>
          <w:rFonts w:cs="Arial"/>
        </w:rPr>
        <w:t xml:space="preserve"> pro </w:t>
      </w:r>
      <w:r w:rsidR="00EB4DB1">
        <w:rPr>
          <w:rFonts w:cs="Arial"/>
        </w:rPr>
        <w:t xml:space="preserve">projekt k celkové výši úvazku zaměstnance. Příjemce je dále povinen ve výpočtu způsobilé části </w:t>
      </w:r>
      <w:r w:rsidR="000351E9">
        <w:rPr>
          <w:rFonts w:cs="Arial"/>
        </w:rPr>
        <w:t xml:space="preserve">příspěvku na </w:t>
      </w:r>
      <w:r w:rsidR="00362324">
        <w:rPr>
          <w:rFonts w:cs="Arial"/>
        </w:rPr>
        <w:t>stravování</w:t>
      </w:r>
      <w:r w:rsidR="00EB4DB1">
        <w:rPr>
          <w:rFonts w:cs="Arial"/>
        </w:rPr>
        <w:t xml:space="preserve"> zoh</w:t>
      </w:r>
      <w:r w:rsidR="005865C6">
        <w:rPr>
          <w:rFonts w:cs="Arial"/>
        </w:rPr>
        <w:t xml:space="preserve">lednit i způsob úhrady </w:t>
      </w:r>
      <w:r w:rsidR="00EB4DB1">
        <w:rPr>
          <w:rFonts w:cs="Arial"/>
        </w:rPr>
        <w:t xml:space="preserve">uplatňovaný v organizaci (např. stravenky mohou být v organizaci hrazeny z několika zdrojů – část hodnoty </w:t>
      </w:r>
      <w:r w:rsidR="00C91023">
        <w:rPr>
          <w:rFonts w:cs="Arial"/>
        </w:rPr>
        <w:t>příspěvku</w:t>
      </w:r>
      <w:r w:rsidR="00DC5EEF">
        <w:rPr>
          <w:rFonts w:cs="Arial"/>
        </w:rPr>
        <w:t xml:space="preserve"> na </w:t>
      </w:r>
      <w:r w:rsidR="00362324">
        <w:rPr>
          <w:rFonts w:cs="Arial"/>
        </w:rPr>
        <w:t>stravování</w:t>
      </w:r>
      <w:r w:rsidR="00C91023">
        <w:rPr>
          <w:rFonts w:cs="Arial"/>
        </w:rPr>
        <w:t xml:space="preserve"> </w:t>
      </w:r>
      <w:r w:rsidR="00EB4DB1">
        <w:rPr>
          <w:rFonts w:cs="Arial"/>
        </w:rPr>
        <w:t xml:space="preserve">může být hrazena </w:t>
      </w:r>
      <w:r w:rsidR="003506BC">
        <w:rPr>
          <w:rFonts w:cs="Arial"/>
        </w:rPr>
        <w:t xml:space="preserve">zaměstnavatelem </w:t>
      </w:r>
      <w:r w:rsidR="00EB4DB1">
        <w:rPr>
          <w:rFonts w:cs="Arial"/>
        </w:rPr>
        <w:t>a zbývající část zaměstnancem,</w:t>
      </w:r>
      <w:r w:rsidR="000351E9">
        <w:rPr>
          <w:rFonts w:cs="Arial"/>
        </w:rPr>
        <w:t xml:space="preserve"> případně příspěvkem z FKSP</w:t>
      </w:r>
      <w:r w:rsidR="00EB4DB1">
        <w:rPr>
          <w:rFonts w:cs="Arial"/>
        </w:rPr>
        <w:t xml:space="preserve"> apod.)</w:t>
      </w:r>
      <w:r w:rsidR="0058754E">
        <w:rPr>
          <w:rFonts w:cs="Arial"/>
        </w:rPr>
        <w:t xml:space="preserve">. Způsobilým výdajem </w:t>
      </w:r>
      <w:r w:rsidR="003506BC">
        <w:rPr>
          <w:rFonts w:cs="Arial"/>
        </w:rPr>
        <w:t xml:space="preserve">z OP VVV </w:t>
      </w:r>
      <w:r w:rsidR="0058754E">
        <w:rPr>
          <w:rFonts w:cs="Arial"/>
        </w:rPr>
        <w:t xml:space="preserve">je pouze příspěvek na </w:t>
      </w:r>
      <w:r w:rsidR="00362324">
        <w:rPr>
          <w:rFonts w:cs="Arial"/>
        </w:rPr>
        <w:t>stravování</w:t>
      </w:r>
      <w:r w:rsidR="0058754E">
        <w:rPr>
          <w:rFonts w:cs="Arial"/>
        </w:rPr>
        <w:t xml:space="preserve"> hrazený zaměstnavatelem. </w:t>
      </w:r>
    </w:p>
    <w:p w:rsidR="002528C9" w:rsidRDefault="00F46BDB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Způsobilost </w:t>
      </w:r>
      <w:r w:rsidR="000351E9">
        <w:rPr>
          <w:rFonts w:cs="Arial"/>
        </w:rPr>
        <w:t xml:space="preserve">příspěvku </w:t>
      </w:r>
      <w:r w:rsidR="0079275C">
        <w:rPr>
          <w:rFonts w:cs="Arial"/>
        </w:rPr>
        <w:t xml:space="preserve">se vždy vyvozuje </w:t>
      </w:r>
      <w:r>
        <w:rPr>
          <w:rFonts w:cs="Arial"/>
        </w:rPr>
        <w:t>z konkrétní verze Pravidel pro žadatele a příjemce (obecná a/nebo</w:t>
      </w:r>
      <w:r w:rsidR="0079275C">
        <w:rPr>
          <w:rFonts w:cs="Arial"/>
        </w:rPr>
        <w:t xml:space="preserve"> </w:t>
      </w:r>
      <w:r>
        <w:rPr>
          <w:rFonts w:cs="Arial"/>
        </w:rPr>
        <w:t>specifická část), kter</w:t>
      </w:r>
      <w:r w:rsidR="003506BC">
        <w:rPr>
          <w:rFonts w:cs="Arial"/>
        </w:rPr>
        <w:t>é</w:t>
      </w:r>
      <w:r>
        <w:rPr>
          <w:rFonts w:cs="Arial"/>
        </w:rPr>
        <w:t xml:space="preserve"> jsou pro daného příjemce závazn</w:t>
      </w:r>
      <w:r w:rsidR="003506BC">
        <w:rPr>
          <w:rFonts w:cs="Arial"/>
        </w:rPr>
        <w:t>é</w:t>
      </w:r>
      <w:r>
        <w:rPr>
          <w:rFonts w:cs="Arial"/>
        </w:rPr>
        <w:t>,</w:t>
      </w:r>
      <w:r w:rsidR="0079275C">
        <w:rPr>
          <w:rFonts w:cs="Arial"/>
        </w:rPr>
        <w:t xml:space="preserve"> </w:t>
      </w:r>
      <w:r>
        <w:rPr>
          <w:rFonts w:cs="Arial"/>
        </w:rPr>
        <w:t>tzn.</w:t>
      </w:r>
      <w:r w:rsidR="0079275C">
        <w:rPr>
          <w:rFonts w:cs="Arial"/>
        </w:rPr>
        <w:t xml:space="preserve">, jsou </w:t>
      </w:r>
      <w:r>
        <w:rPr>
          <w:rFonts w:cs="Arial"/>
        </w:rPr>
        <w:t>přílohou právního aktu o</w:t>
      </w:r>
      <w:r w:rsidR="001E5317">
        <w:rPr>
          <w:rFonts w:cs="Arial"/>
        </w:rPr>
        <w:t> </w:t>
      </w:r>
      <w:r>
        <w:rPr>
          <w:rFonts w:cs="Arial"/>
        </w:rPr>
        <w:t>poskytnutí</w:t>
      </w:r>
      <w:r w:rsidR="00FC34D3">
        <w:rPr>
          <w:rFonts w:cs="Arial"/>
        </w:rPr>
        <w:t>/převodu podpory</w:t>
      </w:r>
      <w:r w:rsidR="005865C6">
        <w:rPr>
          <w:rFonts w:cs="Arial"/>
        </w:rPr>
        <w:t xml:space="preserve"> daného projektu</w:t>
      </w:r>
      <w:r w:rsidR="00FC34D3">
        <w:rPr>
          <w:rFonts w:cs="Arial"/>
        </w:rPr>
        <w:t>.</w:t>
      </w:r>
      <w:r w:rsidR="0079275C">
        <w:rPr>
          <w:rFonts w:cs="Arial"/>
        </w:rPr>
        <w:t xml:space="preserve"> Pro způsob doložení</w:t>
      </w:r>
      <w:r w:rsidR="005865C6">
        <w:rPr>
          <w:rFonts w:cs="Arial"/>
        </w:rPr>
        <w:t xml:space="preserve"> </w:t>
      </w:r>
      <w:r w:rsidR="000351E9">
        <w:rPr>
          <w:rFonts w:cs="Arial"/>
        </w:rPr>
        <w:t>příspěvku</w:t>
      </w:r>
      <w:r w:rsidR="005865C6">
        <w:rPr>
          <w:rFonts w:cs="Arial"/>
        </w:rPr>
        <w:t xml:space="preserve"> v rámci </w:t>
      </w:r>
      <w:proofErr w:type="spellStart"/>
      <w:r w:rsidR="005865C6">
        <w:rPr>
          <w:rFonts w:cs="Arial"/>
        </w:rPr>
        <w:t>Z</w:t>
      </w:r>
      <w:r w:rsidR="00DC5EEF">
        <w:rPr>
          <w:rFonts w:cs="Arial"/>
        </w:rPr>
        <w:t>o</w:t>
      </w:r>
      <w:r w:rsidR="005865C6">
        <w:rPr>
          <w:rFonts w:cs="Arial"/>
        </w:rPr>
        <w:t>R</w:t>
      </w:r>
      <w:proofErr w:type="spellEnd"/>
      <w:r w:rsidR="005865C6">
        <w:rPr>
          <w:rFonts w:cs="Arial"/>
        </w:rPr>
        <w:t xml:space="preserve"> projektu/</w:t>
      </w:r>
      <w:proofErr w:type="spellStart"/>
      <w:r w:rsidR="005865C6">
        <w:rPr>
          <w:rFonts w:cs="Arial"/>
        </w:rPr>
        <w:t>ŽoP</w:t>
      </w:r>
      <w:proofErr w:type="spellEnd"/>
      <w:r w:rsidR="0079275C">
        <w:rPr>
          <w:rFonts w:cs="Arial"/>
        </w:rPr>
        <w:t xml:space="preserve"> </w:t>
      </w:r>
      <w:r w:rsidR="000351E9">
        <w:rPr>
          <w:rFonts w:cstheme="minorHAnsi"/>
        </w:rPr>
        <w:t xml:space="preserve">je ze strany ŘO upřesněn způsob dokladování příspěvku na </w:t>
      </w:r>
      <w:r w:rsidR="00362324">
        <w:rPr>
          <w:rFonts w:cs="Arial"/>
        </w:rPr>
        <w:t>stravování</w:t>
      </w:r>
      <w:r w:rsidR="00DC5EEF">
        <w:rPr>
          <w:rFonts w:cstheme="minorHAnsi"/>
        </w:rPr>
        <w:t>.</w:t>
      </w:r>
      <w:r w:rsidR="000351E9">
        <w:rPr>
          <w:rFonts w:cstheme="minorHAnsi"/>
        </w:rPr>
        <w:t xml:space="preserve"> </w:t>
      </w:r>
    </w:p>
    <w:p w:rsidR="00306214" w:rsidRPr="006058DB" w:rsidRDefault="00306214">
      <w:pPr>
        <w:spacing w:line="276" w:lineRule="auto"/>
        <w:jc w:val="both"/>
        <w:rPr>
          <w:rFonts w:cs="Arial"/>
          <w:u w:val="single"/>
        </w:rPr>
      </w:pPr>
      <w:r w:rsidRPr="006058DB">
        <w:rPr>
          <w:rFonts w:cs="Arial"/>
          <w:u w:val="single"/>
        </w:rPr>
        <w:t xml:space="preserve">Způsob dokladování </w:t>
      </w:r>
      <w:r w:rsidR="00C91023" w:rsidRPr="006058DB">
        <w:rPr>
          <w:rFonts w:cs="Arial"/>
          <w:u w:val="single"/>
        </w:rPr>
        <w:t xml:space="preserve">příspěvku na </w:t>
      </w:r>
      <w:r w:rsidR="00362324" w:rsidRPr="00E11238">
        <w:rPr>
          <w:rFonts w:cs="Arial"/>
          <w:u w:val="single"/>
        </w:rPr>
        <w:t>stravování</w:t>
      </w:r>
    </w:p>
    <w:p w:rsidR="00EB4DB1" w:rsidRDefault="00EB4DB1">
      <w:pPr>
        <w:jc w:val="both"/>
        <w:rPr>
          <w:rFonts w:cs="Arial"/>
        </w:rPr>
      </w:pPr>
      <w:r>
        <w:rPr>
          <w:rFonts w:cs="Arial"/>
        </w:rPr>
        <w:t xml:space="preserve">Příjemce prokazuje způsobilost výdajů za </w:t>
      </w:r>
      <w:r w:rsidR="00C91023">
        <w:rPr>
          <w:rFonts w:cs="Arial"/>
        </w:rPr>
        <w:t xml:space="preserve">příspěvek na </w:t>
      </w:r>
      <w:r w:rsidR="00362324">
        <w:rPr>
          <w:rFonts w:cs="Arial"/>
        </w:rPr>
        <w:t>stravování</w:t>
      </w:r>
      <w:r w:rsidR="00C91023">
        <w:rPr>
          <w:rFonts w:cs="Arial"/>
        </w:rPr>
        <w:t xml:space="preserve"> </w:t>
      </w:r>
      <w:r>
        <w:rPr>
          <w:rFonts w:cs="Arial"/>
        </w:rPr>
        <w:t>doložením těchto dokumentů/dokladů:</w:t>
      </w:r>
    </w:p>
    <w:p w:rsidR="00461465" w:rsidRDefault="00306214" w:rsidP="00461465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61465">
        <w:rPr>
          <w:rFonts w:cs="Arial"/>
        </w:rPr>
        <w:t>vnitřního předpisu zaměstnavatele (</w:t>
      </w:r>
      <w:r w:rsidR="00F14BCC" w:rsidRPr="00461465">
        <w:rPr>
          <w:rFonts w:cs="Arial"/>
        </w:rPr>
        <w:t xml:space="preserve">např. </w:t>
      </w:r>
      <w:r w:rsidRPr="00461465">
        <w:rPr>
          <w:rFonts w:cs="Arial"/>
        </w:rPr>
        <w:t>interní směrnice organizace upravující poskytování stravenek pro zaměstnance),</w:t>
      </w:r>
      <w:r w:rsidR="00F14BCC" w:rsidRPr="00461465">
        <w:rPr>
          <w:rFonts w:cs="Arial"/>
        </w:rPr>
        <w:t xml:space="preserve"> z kterého musí vyplývat, že zaměstnavatel bude zaměstnancům za určitých podmínek poskytovat příspěvek na stravování v podobě stravenky. Vždy musí být upřesněno, v jaké nominální výši a za jakou denní odpracovanou dobu zaměstnanci náleží </w:t>
      </w:r>
      <w:r w:rsidR="00C91023" w:rsidRPr="00461465">
        <w:rPr>
          <w:rFonts w:cs="Arial"/>
        </w:rPr>
        <w:t>příspěvek</w:t>
      </w:r>
      <w:r w:rsidR="00461465" w:rsidRPr="00461465">
        <w:rPr>
          <w:rFonts w:cs="Arial"/>
        </w:rPr>
        <w:t xml:space="preserve"> na stravování</w:t>
      </w:r>
      <w:r w:rsidR="00362324" w:rsidRPr="00461465">
        <w:rPr>
          <w:rFonts w:cs="Arial"/>
        </w:rPr>
        <w:t xml:space="preserve"> a v jaké výši je příspěvek poskytován</w:t>
      </w:r>
      <w:r w:rsidR="00B12AFC" w:rsidRPr="00461465">
        <w:rPr>
          <w:rFonts w:cs="Arial"/>
        </w:rPr>
        <w:t>,</w:t>
      </w:r>
    </w:p>
    <w:p w:rsidR="00461465" w:rsidRDefault="00306214" w:rsidP="00461465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61465">
        <w:rPr>
          <w:rFonts w:cs="Arial"/>
        </w:rPr>
        <w:t>mzdových dokladů zaměstnance,</w:t>
      </w:r>
    </w:p>
    <w:p w:rsidR="00100110" w:rsidRDefault="0058754E" w:rsidP="00461465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461465">
        <w:rPr>
          <w:rFonts w:cs="Arial"/>
        </w:rPr>
        <w:t>rozvrh</w:t>
      </w:r>
      <w:r w:rsidR="00D03293" w:rsidRPr="00461465">
        <w:rPr>
          <w:rFonts w:cs="Arial"/>
        </w:rPr>
        <w:t>/plán</w:t>
      </w:r>
      <w:r w:rsidRPr="00461465">
        <w:rPr>
          <w:rFonts w:cs="Arial"/>
        </w:rPr>
        <w:t xml:space="preserve"> pracovní doby, </w:t>
      </w:r>
      <w:r w:rsidR="00306214" w:rsidRPr="00461465">
        <w:rPr>
          <w:rFonts w:cs="Arial"/>
        </w:rPr>
        <w:t xml:space="preserve">ze kterého musí </w:t>
      </w:r>
      <w:r w:rsidR="00F14BCC" w:rsidRPr="00461465">
        <w:rPr>
          <w:rFonts w:cs="Arial"/>
        </w:rPr>
        <w:t xml:space="preserve">jednoznačně </w:t>
      </w:r>
      <w:r w:rsidR="00306214" w:rsidRPr="00461465">
        <w:rPr>
          <w:rFonts w:cs="Arial"/>
        </w:rPr>
        <w:t xml:space="preserve">vyplývat nárok </w:t>
      </w:r>
      <w:r w:rsidR="00F14BCC" w:rsidRPr="00461465">
        <w:rPr>
          <w:rFonts w:cs="Arial"/>
        </w:rPr>
        <w:t xml:space="preserve">zaměstnance </w:t>
      </w:r>
      <w:r w:rsidR="00785E5C">
        <w:rPr>
          <w:rFonts w:cs="Arial"/>
        </w:rPr>
        <w:t>na </w:t>
      </w:r>
      <w:r w:rsidR="000351E9" w:rsidRPr="00461465">
        <w:rPr>
          <w:rFonts w:cs="Arial"/>
        </w:rPr>
        <w:t xml:space="preserve">příspěvek na </w:t>
      </w:r>
      <w:r w:rsidR="00362324" w:rsidRPr="00461465">
        <w:rPr>
          <w:rFonts w:cs="Arial"/>
        </w:rPr>
        <w:t>stravování</w:t>
      </w:r>
      <w:r w:rsidR="000351E9" w:rsidRPr="00461465">
        <w:rPr>
          <w:rFonts w:cs="Arial"/>
        </w:rPr>
        <w:t xml:space="preserve"> </w:t>
      </w:r>
      <w:r w:rsidR="009B1C47" w:rsidRPr="00461465">
        <w:rPr>
          <w:rFonts w:cs="Arial"/>
        </w:rPr>
        <w:t>za jednotlivé kalendářní dny</w:t>
      </w:r>
      <w:r w:rsidR="00F14BCC" w:rsidRPr="00461465">
        <w:rPr>
          <w:rFonts w:cs="Arial"/>
        </w:rPr>
        <w:t xml:space="preserve">. Může být upraveno přímo v pracovní smlouvě nebo ve vnitřním předpisu organizace </w:t>
      </w:r>
      <w:r w:rsidR="00306214" w:rsidRPr="00461465">
        <w:rPr>
          <w:rFonts w:cs="Arial"/>
        </w:rPr>
        <w:t xml:space="preserve">(např. </w:t>
      </w:r>
      <w:r w:rsidR="00F14BCC" w:rsidRPr="00461465">
        <w:rPr>
          <w:rFonts w:cs="Arial"/>
        </w:rPr>
        <w:t xml:space="preserve">interní směrnicí je upraveno, že </w:t>
      </w:r>
      <w:r w:rsidR="00306214" w:rsidRPr="00461465">
        <w:rPr>
          <w:rFonts w:cs="Arial"/>
        </w:rPr>
        <w:t>zaměstnan</w:t>
      </w:r>
      <w:r w:rsidR="00F14BCC" w:rsidRPr="00461465">
        <w:rPr>
          <w:rFonts w:cs="Arial"/>
        </w:rPr>
        <w:t xml:space="preserve">ci </w:t>
      </w:r>
      <w:r w:rsidR="00306214" w:rsidRPr="00461465">
        <w:rPr>
          <w:rFonts w:cs="Arial"/>
        </w:rPr>
        <w:t>m</w:t>
      </w:r>
      <w:r w:rsidR="00D03293" w:rsidRPr="00461465">
        <w:rPr>
          <w:rFonts w:cs="Arial"/>
        </w:rPr>
        <w:t>ají</w:t>
      </w:r>
      <w:r w:rsidR="00306214" w:rsidRPr="00461465">
        <w:rPr>
          <w:rFonts w:cs="Arial"/>
        </w:rPr>
        <w:t xml:space="preserve"> stanovenu pružnou pracovní </w:t>
      </w:r>
      <w:r w:rsidR="00D220E0" w:rsidRPr="00461465">
        <w:rPr>
          <w:rFonts w:cs="Arial"/>
        </w:rPr>
        <w:t>dob</w:t>
      </w:r>
      <w:r w:rsidR="00D220E0">
        <w:rPr>
          <w:rFonts w:cs="Arial"/>
        </w:rPr>
        <w:t>u</w:t>
      </w:r>
      <w:r w:rsidR="00D220E0" w:rsidRPr="00461465">
        <w:rPr>
          <w:rFonts w:cs="Arial"/>
        </w:rPr>
        <w:t xml:space="preserve"> </w:t>
      </w:r>
      <w:r w:rsidR="00306214" w:rsidRPr="00461465">
        <w:rPr>
          <w:rFonts w:cs="Arial"/>
        </w:rPr>
        <w:t xml:space="preserve">pondělí – pátek vždy od 9:00 – 14:00 hodin </w:t>
      </w:r>
      <w:r w:rsidR="00D03293" w:rsidRPr="00461465">
        <w:rPr>
          <w:rFonts w:cs="Arial"/>
        </w:rPr>
        <w:t xml:space="preserve">a současně je vnitřním předpisem organizace upraveno, že </w:t>
      </w:r>
      <w:r w:rsidR="00785E5C">
        <w:rPr>
          <w:rFonts w:cs="Arial"/>
        </w:rPr>
        <w:t>zaměstnanci vzniká nárok na </w:t>
      </w:r>
      <w:r w:rsidR="00C91023" w:rsidRPr="00461465">
        <w:rPr>
          <w:rFonts w:cs="Arial"/>
        </w:rPr>
        <w:t xml:space="preserve">příspěvek </w:t>
      </w:r>
      <w:r w:rsidR="00306214" w:rsidRPr="00461465">
        <w:rPr>
          <w:rFonts w:cs="Arial"/>
        </w:rPr>
        <w:t>po odpracování např. 4 hodin za den)</w:t>
      </w:r>
      <w:r w:rsidR="00D220E0">
        <w:rPr>
          <w:rFonts w:cs="Arial"/>
        </w:rPr>
        <w:t>. V případě, že má zaměstnanec více úvazků, za které je mu poskytován příspěvek na stravování, je povinen doložit rozvrh/plán pracovní doby pro všechny dílčí úvazky</w:t>
      </w:r>
      <w:r w:rsidR="00B12AFC" w:rsidRPr="00461465">
        <w:rPr>
          <w:rFonts w:cs="Arial"/>
        </w:rPr>
        <w:t>,</w:t>
      </w:r>
    </w:p>
    <w:p w:rsidR="00D220E0" w:rsidRPr="00461465" w:rsidRDefault="00D220E0" w:rsidP="00D220E0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D220E0">
        <w:rPr>
          <w:rFonts w:cs="Arial"/>
        </w:rPr>
        <w:lastRenderedPageBreak/>
        <w:t>sjetinu z docházkového systému či jinou vhodnou rekapitulac</w:t>
      </w:r>
      <w:r w:rsidR="00785E5C">
        <w:rPr>
          <w:rFonts w:cs="Arial"/>
        </w:rPr>
        <w:t>i počtu odpracovaných hodin pro </w:t>
      </w:r>
      <w:r w:rsidRPr="00D220E0">
        <w:rPr>
          <w:rFonts w:cs="Arial"/>
        </w:rPr>
        <w:t xml:space="preserve">projekt a počtu odpracovaných hodin celkem na denní bázi pro každého zaměstnance (platí pro zaměstnance, jejichž pracovní doba nelze prokázat dle rozvrhu/plánu pracovní doby dle </w:t>
      </w:r>
      <w:r w:rsidR="00CD301B">
        <w:rPr>
          <w:rFonts w:cs="Arial"/>
        </w:rPr>
        <w:t>bodu</w:t>
      </w:r>
      <w:r w:rsidRPr="00D220E0">
        <w:rPr>
          <w:rFonts w:cs="Arial"/>
        </w:rPr>
        <w:t xml:space="preserve"> výše),</w:t>
      </w:r>
    </w:p>
    <w:p w:rsidR="00EF5257" w:rsidRDefault="00306214" w:rsidP="003B0F9B">
      <w:pPr>
        <w:pStyle w:val="Odstavecseseznamem"/>
        <w:numPr>
          <w:ilvl w:val="0"/>
          <w:numId w:val="13"/>
        </w:numPr>
        <w:jc w:val="both"/>
        <w:rPr>
          <w:rFonts w:cs="Arial"/>
        </w:rPr>
      </w:pPr>
      <w:r w:rsidRPr="00CD301B">
        <w:rPr>
          <w:rFonts w:cs="Arial"/>
        </w:rPr>
        <w:t xml:space="preserve">souhrnné kalkulace výdajů na </w:t>
      </w:r>
      <w:r w:rsidR="000351E9" w:rsidRPr="00CD301B">
        <w:rPr>
          <w:rFonts w:cs="Arial"/>
        </w:rPr>
        <w:t>příspěvek na strav</w:t>
      </w:r>
      <w:r w:rsidR="00D220E0" w:rsidRPr="00CD301B">
        <w:rPr>
          <w:rFonts w:cs="Arial"/>
        </w:rPr>
        <w:t xml:space="preserve">ování </w:t>
      </w:r>
      <w:r w:rsidRPr="00CD301B">
        <w:rPr>
          <w:rFonts w:cs="Arial"/>
        </w:rPr>
        <w:t>hrazen</w:t>
      </w:r>
      <w:r w:rsidR="000351E9" w:rsidRPr="00CD301B">
        <w:rPr>
          <w:rFonts w:cs="Arial"/>
        </w:rPr>
        <w:t>ý</w:t>
      </w:r>
      <w:r w:rsidRPr="00CD301B">
        <w:rPr>
          <w:rFonts w:cs="Arial"/>
        </w:rPr>
        <w:t xml:space="preserve"> zaměstnavatelem</w:t>
      </w:r>
      <w:r w:rsidR="00D220E0">
        <w:rPr>
          <w:rFonts w:cs="Arial"/>
        </w:rPr>
        <w:t xml:space="preserve">. </w:t>
      </w:r>
      <w:r w:rsidR="00920F8A">
        <w:rPr>
          <w:rFonts w:cs="Arial"/>
        </w:rPr>
        <w:t xml:space="preserve">Pro provedení kalkulace výdajů </w:t>
      </w:r>
      <w:r w:rsidR="00D220E0">
        <w:rPr>
          <w:rFonts w:cs="Arial"/>
        </w:rPr>
        <w:t xml:space="preserve">Příjemce použije </w:t>
      </w:r>
      <w:r w:rsidR="00EF5257">
        <w:rPr>
          <w:rFonts w:cs="Arial"/>
        </w:rPr>
        <w:t>vzorové formuláře zpracované ŘO, kterými jsou:</w:t>
      </w:r>
    </w:p>
    <w:p w:rsidR="00EF5257" w:rsidRDefault="00EF5257" w:rsidP="003B0F9B">
      <w:pPr>
        <w:pStyle w:val="Odstavecseseznamem"/>
        <w:jc w:val="both"/>
        <w:rPr>
          <w:rFonts w:cs="Arial"/>
        </w:rPr>
      </w:pPr>
    </w:p>
    <w:p w:rsidR="00EF5257" w:rsidRPr="003B0F9B" w:rsidRDefault="00920F8A" w:rsidP="003B0F9B">
      <w:pPr>
        <w:pStyle w:val="Odstavecseseznamem"/>
        <w:numPr>
          <w:ilvl w:val="0"/>
          <w:numId w:val="14"/>
        </w:numPr>
        <w:jc w:val="both"/>
        <w:rPr>
          <w:rFonts w:cs="Arial"/>
          <w:u w:val="single"/>
        </w:rPr>
      </w:pPr>
      <w:r>
        <w:rPr>
          <w:rFonts w:cs="Arial"/>
          <w:u w:val="single"/>
        </w:rPr>
        <w:t>K</w:t>
      </w:r>
      <w:r w:rsidRPr="008A5201">
        <w:rPr>
          <w:rFonts w:cs="Arial"/>
          <w:u w:val="single"/>
        </w:rPr>
        <w:t xml:space="preserve">alkulace </w:t>
      </w:r>
      <w:r>
        <w:rPr>
          <w:rFonts w:cs="Arial"/>
          <w:u w:val="single"/>
        </w:rPr>
        <w:t>výdaj</w:t>
      </w:r>
      <w:r w:rsidRPr="008A5201">
        <w:rPr>
          <w:rFonts w:cs="Arial"/>
          <w:u w:val="single"/>
        </w:rPr>
        <w:t>ů na stravování hrazené zaměstnavatelem (souhrnný za více zaměstnanců/měsíc)</w:t>
      </w:r>
    </w:p>
    <w:p w:rsidR="00EF5257" w:rsidRPr="00CD301B" w:rsidRDefault="00EF5257" w:rsidP="003B0F9B">
      <w:pPr>
        <w:pStyle w:val="Odstavecseseznamem"/>
        <w:jc w:val="both"/>
        <w:rPr>
          <w:rFonts w:cs="Arial"/>
        </w:rPr>
      </w:pPr>
      <w:r>
        <w:rPr>
          <w:rFonts w:cs="Arial"/>
        </w:rPr>
        <w:t xml:space="preserve">Formulář je určen pro kalkulaci </w:t>
      </w:r>
      <w:r w:rsidR="00EC1D33">
        <w:rPr>
          <w:rFonts w:cs="Arial"/>
        </w:rPr>
        <w:t>výda</w:t>
      </w:r>
      <w:r w:rsidR="00920F8A">
        <w:rPr>
          <w:rFonts w:cs="Arial"/>
        </w:rPr>
        <w:t>j</w:t>
      </w:r>
      <w:r>
        <w:rPr>
          <w:rFonts w:cs="Arial"/>
        </w:rPr>
        <w:t xml:space="preserve">ů na stravování </w:t>
      </w:r>
      <w:r w:rsidR="00920F8A">
        <w:rPr>
          <w:rFonts w:cs="Arial"/>
        </w:rPr>
        <w:t>zaměstnanců</w:t>
      </w:r>
      <w:r w:rsidR="00755822">
        <w:rPr>
          <w:rFonts w:cs="Arial"/>
        </w:rPr>
        <w:t xml:space="preserve">, </w:t>
      </w:r>
      <w:r w:rsidR="00EC1D33">
        <w:rPr>
          <w:rFonts w:cs="Arial"/>
        </w:rPr>
        <w:t>kteří mají stanovený rozvrh denní pracovní doby pro všechny kalendářní dny</w:t>
      </w:r>
      <w:r w:rsidR="00785E5C">
        <w:rPr>
          <w:rFonts w:cs="Arial"/>
        </w:rPr>
        <w:t>,</w:t>
      </w:r>
      <w:r w:rsidR="00EC1D33">
        <w:rPr>
          <w:rFonts w:cs="Arial"/>
        </w:rPr>
        <w:t xml:space="preserve"> a to minimálně ve výši počtu hodin potřebného pro získání nároku na příspěvek na stravování. Pokud zaměstnanci některé dny neodpracují, popřípadě jim nevznikl nárok na příspěvek na stravování (např. v důsledku pracovní cesty, v rámci které jim bylo poskytnuto stravování jiným způsobem či proplaceno stravné podle zákoníku práce), Příjemce uvede tyto skutečnosti do sloupce Poznámka. </w:t>
      </w:r>
    </w:p>
    <w:p w:rsidR="00EF5257" w:rsidRPr="00CD301B" w:rsidRDefault="00EF5257" w:rsidP="003B0F9B">
      <w:pPr>
        <w:pStyle w:val="Odstavecseseznamem"/>
        <w:jc w:val="both"/>
        <w:rPr>
          <w:rFonts w:cs="Arial"/>
        </w:rPr>
      </w:pPr>
    </w:p>
    <w:p w:rsidR="00D220E0" w:rsidRPr="003B0F9B" w:rsidRDefault="00920F8A" w:rsidP="003B0F9B">
      <w:pPr>
        <w:pStyle w:val="Odstavecseseznamem"/>
        <w:numPr>
          <w:ilvl w:val="0"/>
          <w:numId w:val="14"/>
        </w:numPr>
        <w:jc w:val="both"/>
        <w:rPr>
          <w:rFonts w:cs="Arial"/>
          <w:u w:val="single"/>
        </w:rPr>
      </w:pPr>
      <w:r w:rsidRPr="00286AA3">
        <w:rPr>
          <w:rFonts w:cs="Arial"/>
          <w:u w:val="single"/>
        </w:rPr>
        <w:t xml:space="preserve">Kalkulace </w:t>
      </w:r>
      <w:r>
        <w:rPr>
          <w:rFonts w:cs="Arial"/>
          <w:u w:val="single"/>
        </w:rPr>
        <w:t>výdajů</w:t>
      </w:r>
      <w:r w:rsidRPr="00286AA3">
        <w:rPr>
          <w:rFonts w:cs="Arial"/>
          <w:u w:val="single"/>
        </w:rPr>
        <w:t xml:space="preserve"> na stravování hrazené zaměstnavatelem (souhrnný za </w:t>
      </w:r>
      <w:r w:rsidR="00785E5C">
        <w:rPr>
          <w:rFonts w:cs="Arial"/>
          <w:u w:val="single"/>
        </w:rPr>
        <w:t>jednoho</w:t>
      </w:r>
      <w:r w:rsidRPr="00286AA3">
        <w:rPr>
          <w:rFonts w:cs="Arial"/>
          <w:u w:val="single"/>
        </w:rPr>
        <w:t xml:space="preserve"> zaměstnance/měsíc)</w:t>
      </w:r>
    </w:p>
    <w:p w:rsidR="00D220E0" w:rsidRDefault="00EC1D33" w:rsidP="003B0F9B">
      <w:pPr>
        <w:pStyle w:val="Odstavecseseznamem"/>
        <w:jc w:val="both"/>
        <w:rPr>
          <w:rFonts w:cs="Arial"/>
        </w:rPr>
      </w:pPr>
      <w:r>
        <w:rPr>
          <w:rFonts w:cs="Arial"/>
        </w:rPr>
        <w:t xml:space="preserve">Formulář je určen pro kalkulaci výdajů na stravování zaměstnanců, kteří </w:t>
      </w:r>
      <w:r w:rsidR="0008216C">
        <w:rPr>
          <w:rFonts w:cs="Arial"/>
        </w:rPr>
        <w:t>ne</w:t>
      </w:r>
      <w:r>
        <w:rPr>
          <w:rFonts w:cs="Arial"/>
        </w:rPr>
        <w:t xml:space="preserve">mají </w:t>
      </w:r>
      <w:r w:rsidR="0008216C">
        <w:rPr>
          <w:rFonts w:cs="Arial"/>
        </w:rPr>
        <w:t>stanovený</w:t>
      </w:r>
      <w:r w:rsidR="00785E5C">
        <w:rPr>
          <w:rFonts w:cs="Arial"/>
        </w:rPr>
        <w:t xml:space="preserve"> </w:t>
      </w:r>
      <w:r w:rsidR="0008216C">
        <w:rPr>
          <w:rFonts w:cs="Arial"/>
        </w:rPr>
        <w:t xml:space="preserve">rozvrh </w:t>
      </w:r>
      <w:r>
        <w:rPr>
          <w:rFonts w:cs="Arial"/>
        </w:rPr>
        <w:t>denní pracovní doby pro všechny kalendářní dny</w:t>
      </w:r>
      <w:r w:rsidR="0008216C">
        <w:rPr>
          <w:rFonts w:cs="Arial"/>
        </w:rPr>
        <w:t xml:space="preserve">, tzn., zaměstnanec nemusí každý den pracovat pro projekt (např. zaměstnanec na úvazek 0,5 může pracovat pro projekt 2,5 dne v týdnu, tzn., nárok na příspěvek na stravování se bude počítat pouze za dny, kdy skutečně pracoval pro projekt). </w:t>
      </w:r>
    </w:p>
    <w:p w:rsidR="00866D97" w:rsidRDefault="00306214" w:rsidP="00362324">
      <w:pPr>
        <w:jc w:val="both"/>
        <w:rPr>
          <w:rFonts w:cs="Arial"/>
        </w:rPr>
      </w:pPr>
      <w:r w:rsidRPr="00306214">
        <w:rPr>
          <w:rFonts w:cs="Arial"/>
        </w:rPr>
        <w:t xml:space="preserve">Výdaj na </w:t>
      </w:r>
      <w:r w:rsidR="000351E9">
        <w:rPr>
          <w:rFonts w:cs="Arial"/>
        </w:rPr>
        <w:t xml:space="preserve">příspěvek na </w:t>
      </w:r>
      <w:r w:rsidR="00362324">
        <w:rPr>
          <w:rFonts w:cs="Arial"/>
        </w:rPr>
        <w:t>stravování</w:t>
      </w:r>
      <w:r w:rsidR="000351E9" w:rsidRPr="00306214">
        <w:rPr>
          <w:rFonts w:cs="Arial"/>
        </w:rPr>
        <w:t xml:space="preserve"> </w:t>
      </w:r>
      <w:r w:rsidRPr="00306214">
        <w:rPr>
          <w:rFonts w:cs="Arial"/>
        </w:rPr>
        <w:t>(</w:t>
      </w:r>
      <w:r w:rsidR="00D03293">
        <w:rPr>
          <w:rFonts w:cs="Arial"/>
        </w:rPr>
        <w:t xml:space="preserve">pouze ta </w:t>
      </w:r>
      <w:r w:rsidRPr="00306214">
        <w:rPr>
          <w:rFonts w:cs="Arial"/>
        </w:rPr>
        <w:t xml:space="preserve">část, která je hrazena zaměstnavatelem) </w:t>
      </w:r>
      <w:r w:rsidR="00EB4DB1">
        <w:rPr>
          <w:rFonts w:cs="Arial"/>
        </w:rPr>
        <w:t>lze</w:t>
      </w:r>
      <w:r w:rsidRPr="00306214">
        <w:rPr>
          <w:rFonts w:cs="Arial"/>
        </w:rPr>
        <w:t xml:space="preserve"> v rozpočtu projektu vykazov</w:t>
      </w:r>
      <w:r w:rsidR="00EB4DB1">
        <w:rPr>
          <w:rFonts w:cs="Arial"/>
        </w:rPr>
        <w:t>at</w:t>
      </w:r>
      <w:r w:rsidRPr="00306214">
        <w:rPr>
          <w:rFonts w:cs="Arial"/>
        </w:rPr>
        <w:t xml:space="preserve"> v</w:t>
      </w:r>
      <w:r w:rsidR="001E5317">
        <w:rPr>
          <w:rFonts w:cs="Arial"/>
        </w:rPr>
        <w:t> </w:t>
      </w:r>
      <w:r w:rsidRPr="00306214">
        <w:rPr>
          <w:rFonts w:cs="Arial"/>
        </w:rPr>
        <w:t xml:space="preserve">kapitole </w:t>
      </w:r>
      <w:r w:rsidR="00785E5C">
        <w:rPr>
          <w:rFonts w:cs="Arial"/>
        </w:rPr>
        <w:t>O</w:t>
      </w:r>
      <w:r w:rsidRPr="00306214">
        <w:rPr>
          <w:rFonts w:cs="Arial"/>
        </w:rPr>
        <w:t>sobní výdaje v položce „</w:t>
      </w:r>
      <w:r w:rsidR="00785E5C">
        <w:rPr>
          <w:rFonts w:cs="Arial"/>
        </w:rPr>
        <w:t>O</w:t>
      </w:r>
      <w:bookmarkStart w:id="0" w:name="_GoBack"/>
      <w:bookmarkEnd w:id="0"/>
      <w:r w:rsidRPr="00306214">
        <w:rPr>
          <w:rFonts w:cs="Arial"/>
        </w:rPr>
        <w:t>statní jiné povinné výdaje“.</w:t>
      </w:r>
    </w:p>
    <w:p w:rsidR="00E11238" w:rsidRDefault="00E11238" w:rsidP="00362324">
      <w:pPr>
        <w:jc w:val="both"/>
        <w:rPr>
          <w:rFonts w:cs="Arial"/>
        </w:rPr>
      </w:pPr>
    </w:p>
    <w:p w:rsidR="00E11238" w:rsidRDefault="00E11238" w:rsidP="00362324">
      <w:pPr>
        <w:jc w:val="both"/>
        <w:rPr>
          <w:rFonts w:cs="Arial"/>
        </w:rPr>
      </w:pPr>
    </w:p>
    <w:p w:rsidR="00306214" w:rsidRPr="00866D97" w:rsidRDefault="00306214">
      <w:pPr>
        <w:jc w:val="both"/>
        <w:rPr>
          <w:rFonts w:cs="Arial"/>
        </w:rPr>
      </w:pPr>
    </w:p>
    <w:sectPr w:rsidR="00306214" w:rsidRPr="00866D97" w:rsidSect="00745E52">
      <w:headerReference w:type="default" r:id="rId13"/>
      <w:footerReference w:type="default" r:id="rId14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05" w:rsidRDefault="00C50105" w:rsidP="00B009B5">
      <w:pPr>
        <w:spacing w:after="0" w:line="240" w:lineRule="auto"/>
      </w:pPr>
      <w:r>
        <w:separator/>
      </w:r>
    </w:p>
  </w:endnote>
  <w:endnote w:type="continuationSeparator" w:id="0">
    <w:p w:rsidR="00C50105" w:rsidRDefault="00C50105" w:rsidP="00B009B5">
      <w:pPr>
        <w:spacing w:after="0" w:line="240" w:lineRule="auto"/>
      </w:pPr>
      <w:r>
        <w:continuationSeparator/>
      </w:r>
    </w:p>
  </w:endnote>
  <w:endnote w:type="continuationNotice" w:id="1">
    <w:p w:rsidR="00C50105" w:rsidRDefault="00C50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63" w:rsidRDefault="001E5963" w:rsidP="00E2192D">
    <w:pPr>
      <w:pStyle w:val="Zpat"/>
      <w:jc w:val="center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0C1E7300" wp14:editId="072E8232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4638675" cy="1021715"/>
          <wp:effectExtent l="0" t="0" r="9525" b="6985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5963" w:rsidRDefault="001E5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05" w:rsidRDefault="00C50105" w:rsidP="00B009B5">
      <w:pPr>
        <w:spacing w:after="0" w:line="240" w:lineRule="auto"/>
      </w:pPr>
      <w:r>
        <w:separator/>
      </w:r>
    </w:p>
  </w:footnote>
  <w:footnote w:type="continuationSeparator" w:id="0">
    <w:p w:rsidR="00C50105" w:rsidRDefault="00C50105" w:rsidP="00B009B5">
      <w:pPr>
        <w:spacing w:after="0" w:line="240" w:lineRule="auto"/>
      </w:pPr>
      <w:r>
        <w:continuationSeparator/>
      </w:r>
    </w:p>
  </w:footnote>
  <w:footnote w:type="continuationNotice" w:id="1">
    <w:p w:rsidR="00C50105" w:rsidRDefault="00C50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63" w:rsidRDefault="001E5963" w:rsidP="00E219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8CE9D0" wp14:editId="19F2A130">
          <wp:simplePos x="0" y="0"/>
          <wp:positionH relativeFrom="margin">
            <wp:align>center</wp:align>
          </wp:positionH>
          <wp:positionV relativeFrom="topMargin">
            <wp:posOffset>153670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963" w:rsidRPr="00E2192D" w:rsidRDefault="001E5963" w:rsidP="00E219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535"/>
    <w:multiLevelType w:val="hybridMultilevel"/>
    <w:tmpl w:val="19A42C40"/>
    <w:lvl w:ilvl="0" w:tplc="06C890B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318"/>
    <w:multiLevelType w:val="hybridMultilevel"/>
    <w:tmpl w:val="17127A9C"/>
    <w:lvl w:ilvl="0" w:tplc="FB34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B53"/>
    <w:multiLevelType w:val="hybridMultilevel"/>
    <w:tmpl w:val="A170C6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2658"/>
    <w:multiLevelType w:val="hybridMultilevel"/>
    <w:tmpl w:val="74EE6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54F2"/>
    <w:multiLevelType w:val="hybridMultilevel"/>
    <w:tmpl w:val="B4E66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5375"/>
    <w:multiLevelType w:val="hybridMultilevel"/>
    <w:tmpl w:val="1278FB5C"/>
    <w:lvl w:ilvl="0" w:tplc="75B07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8AB"/>
    <w:multiLevelType w:val="hybridMultilevel"/>
    <w:tmpl w:val="A1166086"/>
    <w:lvl w:ilvl="0" w:tplc="75B07D6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0793BC8"/>
    <w:multiLevelType w:val="hybridMultilevel"/>
    <w:tmpl w:val="F09EA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51BD"/>
    <w:multiLevelType w:val="hybridMultilevel"/>
    <w:tmpl w:val="A842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57FDE"/>
    <w:multiLevelType w:val="hybridMultilevel"/>
    <w:tmpl w:val="6038C09A"/>
    <w:lvl w:ilvl="0" w:tplc="75B07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2426D"/>
    <w:multiLevelType w:val="hybridMultilevel"/>
    <w:tmpl w:val="1A0A6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20380"/>
    <w:multiLevelType w:val="hybridMultilevel"/>
    <w:tmpl w:val="26667AA6"/>
    <w:lvl w:ilvl="0" w:tplc="BC0C9BF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425D"/>
    <w:multiLevelType w:val="hybridMultilevel"/>
    <w:tmpl w:val="C2E2E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80718"/>
    <w:multiLevelType w:val="hybridMultilevel"/>
    <w:tmpl w:val="4906D5A4"/>
    <w:lvl w:ilvl="0" w:tplc="768A08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072083"/>
    <w:multiLevelType w:val="hybridMultilevel"/>
    <w:tmpl w:val="C304E9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F"/>
    <w:rsid w:val="00011874"/>
    <w:rsid w:val="00021140"/>
    <w:rsid w:val="00021DEB"/>
    <w:rsid w:val="00025162"/>
    <w:rsid w:val="000351E9"/>
    <w:rsid w:val="00035C0C"/>
    <w:rsid w:val="00047635"/>
    <w:rsid w:val="000609AF"/>
    <w:rsid w:val="0008216C"/>
    <w:rsid w:val="00092246"/>
    <w:rsid w:val="00092DFA"/>
    <w:rsid w:val="00097C90"/>
    <w:rsid w:val="000A2464"/>
    <w:rsid w:val="000E0DE4"/>
    <w:rsid w:val="000E3900"/>
    <w:rsid w:val="00100110"/>
    <w:rsid w:val="0010678A"/>
    <w:rsid w:val="001073F7"/>
    <w:rsid w:val="00115664"/>
    <w:rsid w:val="001217FE"/>
    <w:rsid w:val="0013574A"/>
    <w:rsid w:val="001414D3"/>
    <w:rsid w:val="00151B8C"/>
    <w:rsid w:val="001544D3"/>
    <w:rsid w:val="001552EC"/>
    <w:rsid w:val="00157A10"/>
    <w:rsid w:val="00192A4D"/>
    <w:rsid w:val="001B1F3B"/>
    <w:rsid w:val="001B57E5"/>
    <w:rsid w:val="001C494F"/>
    <w:rsid w:val="001C7ACD"/>
    <w:rsid w:val="001E0C50"/>
    <w:rsid w:val="001E5317"/>
    <w:rsid w:val="001E5963"/>
    <w:rsid w:val="002035A7"/>
    <w:rsid w:val="002331BD"/>
    <w:rsid w:val="00235F56"/>
    <w:rsid w:val="002415A2"/>
    <w:rsid w:val="00247D22"/>
    <w:rsid w:val="002528C9"/>
    <w:rsid w:val="002608A7"/>
    <w:rsid w:val="0028302E"/>
    <w:rsid w:val="00295183"/>
    <w:rsid w:val="0029608C"/>
    <w:rsid w:val="002B4B80"/>
    <w:rsid w:val="002C0B5F"/>
    <w:rsid w:val="002C1CA8"/>
    <w:rsid w:val="002D7989"/>
    <w:rsid w:val="002F559A"/>
    <w:rsid w:val="003019C0"/>
    <w:rsid w:val="00306214"/>
    <w:rsid w:val="003125F4"/>
    <w:rsid w:val="00317521"/>
    <w:rsid w:val="003268F8"/>
    <w:rsid w:val="00340EB5"/>
    <w:rsid w:val="00343247"/>
    <w:rsid w:val="00346F36"/>
    <w:rsid w:val="003506BC"/>
    <w:rsid w:val="00355589"/>
    <w:rsid w:val="00355A0B"/>
    <w:rsid w:val="003621F3"/>
    <w:rsid w:val="00362324"/>
    <w:rsid w:val="003650EC"/>
    <w:rsid w:val="003739DE"/>
    <w:rsid w:val="00380EF9"/>
    <w:rsid w:val="003835AD"/>
    <w:rsid w:val="0038376E"/>
    <w:rsid w:val="00384DB4"/>
    <w:rsid w:val="00390B84"/>
    <w:rsid w:val="003A4A88"/>
    <w:rsid w:val="003A5019"/>
    <w:rsid w:val="003B0F9B"/>
    <w:rsid w:val="003B105C"/>
    <w:rsid w:val="003D7A37"/>
    <w:rsid w:val="003F37A1"/>
    <w:rsid w:val="0041146F"/>
    <w:rsid w:val="004155D1"/>
    <w:rsid w:val="00446203"/>
    <w:rsid w:val="00461465"/>
    <w:rsid w:val="004619DF"/>
    <w:rsid w:val="00467B0C"/>
    <w:rsid w:val="0047593E"/>
    <w:rsid w:val="00492EFB"/>
    <w:rsid w:val="004A38DE"/>
    <w:rsid w:val="004A46B0"/>
    <w:rsid w:val="004C3846"/>
    <w:rsid w:val="004C44AB"/>
    <w:rsid w:val="004C44BB"/>
    <w:rsid w:val="004C526A"/>
    <w:rsid w:val="004C7784"/>
    <w:rsid w:val="004D3422"/>
    <w:rsid w:val="004D5429"/>
    <w:rsid w:val="004E6A0C"/>
    <w:rsid w:val="00500C17"/>
    <w:rsid w:val="00513C83"/>
    <w:rsid w:val="005202A7"/>
    <w:rsid w:val="00540E17"/>
    <w:rsid w:val="00551E9E"/>
    <w:rsid w:val="00566F8B"/>
    <w:rsid w:val="005865C6"/>
    <w:rsid w:val="0058754E"/>
    <w:rsid w:val="0059329F"/>
    <w:rsid w:val="0059719D"/>
    <w:rsid w:val="005A1E44"/>
    <w:rsid w:val="005B315A"/>
    <w:rsid w:val="006058DB"/>
    <w:rsid w:val="00612966"/>
    <w:rsid w:val="00621A12"/>
    <w:rsid w:val="00625FB1"/>
    <w:rsid w:val="0064607B"/>
    <w:rsid w:val="00656D3E"/>
    <w:rsid w:val="00657443"/>
    <w:rsid w:val="00675058"/>
    <w:rsid w:val="006926D6"/>
    <w:rsid w:val="006A1579"/>
    <w:rsid w:val="006A2A8A"/>
    <w:rsid w:val="006A7053"/>
    <w:rsid w:val="006B04D2"/>
    <w:rsid w:val="006B50C7"/>
    <w:rsid w:val="006B61BB"/>
    <w:rsid w:val="006B63DD"/>
    <w:rsid w:val="006E640D"/>
    <w:rsid w:val="00712F85"/>
    <w:rsid w:val="00745E52"/>
    <w:rsid w:val="00746962"/>
    <w:rsid w:val="0075094E"/>
    <w:rsid w:val="007543FA"/>
    <w:rsid w:val="00755822"/>
    <w:rsid w:val="00763968"/>
    <w:rsid w:val="00785E5C"/>
    <w:rsid w:val="0079275C"/>
    <w:rsid w:val="007974EC"/>
    <w:rsid w:val="007A0914"/>
    <w:rsid w:val="007A3EDC"/>
    <w:rsid w:val="007B2B6D"/>
    <w:rsid w:val="007B4650"/>
    <w:rsid w:val="007D6D1F"/>
    <w:rsid w:val="007E016C"/>
    <w:rsid w:val="007E04EA"/>
    <w:rsid w:val="007F752E"/>
    <w:rsid w:val="00802796"/>
    <w:rsid w:val="008029A4"/>
    <w:rsid w:val="00817944"/>
    <w:rsid w:val="008254DC"/>
    <w:rsid w:val="0083009E"/>
    <w:rsid w:val="00864419"/>
    <w:rsid w:val="00864852"/>
    <w:rsid w:val="00866D97"/>
    <w:rsid w:val="0087214F"/>
    <w:rsid w:val="008B1557"/>
    <w:rsid w:val="008B1FB9"/>
    <w:rsid w:val="008D1DA0"/>
    <w:rsid w:val="008D5A62"/>
    <w:rsid w:val="008E4AE3"/>
    <w:rsid w:val="008E6FE8"/>
    <w:rsid w:val="008F74BD"/>
    <w:rsid w:val="00904EE3"/>
    <w:rsid w:val="00912094"/>
    <w:rsid w:val="009130DA"/>
    <w:rsid w:val="00915230"/>
    <w:rsid w:val="00920F8A"/>
    <w:rsid w:val="0094558D"/>
    <w:rsid w:val="00964074"/>
    <w:rsid w:val="009765F8"/>
    <w:rsid w:val="0098582E"/>
    <w:rsid w:val="009B1C47"/>
    <w:rsid w:val="009B360A"/>
    <w:rsid w:val="009C66DF"/>
    <w:rsid w:val="009D7B19"/>
    <w:rsid w:val="009D7DDB"/>
    <w:rsid w:val="00A53038"/>
    <w:rsid w:val="00A74958"/>
    <w:rsid w:val="00A80D60"/>
    <w:rsid w:val="00A90EED"/>
    <w:rsid w:val="00A96E5E"/>
    <w:rsid w:val="00AA6CFA"/>
    <w:rsid w:val="00AB3834"/>
    <w:rsid w:val="00AC210B"/>
    <w:rsid w:val="00AD05D4"/>
    <w:rsid w:val="00AD0A0A"/>
    <w:rsid w:val="00AE0365"/>
    <w:rsid w:val="00AF5A03"/>
    <w:rsid w:val="00B000BC"/>
    <w:rsid w:val="00B0091B"/>
    <w:rsid w:val="00B009B5"/>
    <w:rsid w:val="00B02E75"/>
    <w:rsid w:val="00B07F80"/>
    <w:rsid w:val="00B12AFC"/>
    <w:rsid w:val="00B20227"/>
    <w:rsid w:val="00B231E7"/>
    <w:rsid w:val="00B23A0D"/>
    <w:rsid w:val="00B451F5"/>
    <w:rsid w:val="00B45633"/>
    <w:rsid w:val="00B5349B"/>
    <w:rsid w:val="00B641E0"/>
    <w:rsid w:val="00B73D50"/>
    <w:rsid w:val="00B82DCF"/>
    <w:rsid w:val="00BA3711"/>
    <w:rsid w:val="00BA6F99"/>
    <w:rsid w:val="00BB3947"/>
    <w:rsid w:val="00BB4663"/>
    <w:rsid w:val="00BB47F1"/>
    <w:rsid w:val="00BB7371"/>
    <w:rsid w:val="00BD158E"/>
    <w:rsid w:val="00BD4ACA"/>
    <w:rsid w:val="00BD7604"/>
    <w:rsid w:val="00BE0B5B"/>
    <w:rsid w:val="00BE559F"/>
    <w:rsid w:val="00BE660E"/>
    <w:rsid w:val="00BF1646"/>
    <w:rsid w:val="00C0476B"/>
    <w:rsid w:val="00C06E73"/>
    <w:rsid w:val="00C13070"/>
    <w:rsid w:val="00C3040A"/>
    <w:rsid w:val="00C45025"/>
    <w:rsid w:val="00C50105"/>
    <w:rsid w:val="00C5089B"/>
    <w:rsid w:val="00C513F0"/>
    <w:rsid w:val="00C7372F"/>
    <w:rsid w:val="00C91023"/>
    <w:rsid w:val="00C94FB9"/>
    <w:rsid w:val="00C96D0D"/>
    <w:rsid w:val="00C97ACC"/>
    <w:rsid w:val="00CC011B"/>
    <w:rsid w:val="00CC75E1"/>
    <w:rsid w:val="00CD1C5F"/>
    <w:rsid w:val="00CD301B"/>
    <w:rsid w:val="00CD6C88"/>
    <w:rsid w:val="00CE4378"/>
    <w:rsid w:val="00CF40DC"/>
    <w:rsid w:val="00CF45F8"/>
    <w:rsid w:val="00D03293"/>
    <w:rsid w:val="00D220E0"/>
    <w:rsid w:val="00D24338"/>
    <w:rsid w:val="00D24C0B"/>
    <w:rsid w:val="00D24DCD"/>
    <w:rsid w:val="00D2754F"/>
    <w:rsid w:val="00D41BC5"/>
    <w:rsid w:val="00D71947"/>
    <w:rsid w:val="00D922FF"/>
    <w:rsid w:val="00D95043"/>
    <w:rsid w:val="00DA31F6"/>
    <w:rsid w:val="00DA5D30"/>
    <w:rsid w:val="00DB5FC6"/>
    <w:rsid w:val="00DB671C"/>
    <w:rsid w:val="00DC5EEF"/>
    <w:rsid w:val="00DF4AFA"/>
    <w:rsid w:val="00E11238"/>
    <w:rsid w:val="00E11D7D"/>
    <w:rsid w:val="00E2192D"/>
    <w:rsid w:val="00E23DC8"/>
    <w:rsid w:val="00E3326D"/>
    <w:rsid w:val="00E43A7B"/>
    <w:rsid w:val="00E512B2"/>
    <w:rsid w:val="00E62D2A"/>
    <w:rsid w:val="00E65F58"/>
    <w:rsid w:val="00E73E7D"/>
    <w:rsid w:val="00E751AF"/>
    <w:rsid w:val="00E76457"/>
    <w:rsid w:val="00E867F3"/>
    <w:rsid w:val="00E90A7C"/>
    <w:rsid w:val="00E9336C"/>
    <w:rsid w:val="00E9541F"/>
    <w:rsid w:val="00EB4DB1"/>
    <w:rsid w:val="00EC1D33"/>
    <w:rsid w:val="00EC2D52"/>
    <w:rsid w:val="00ED0BEE"/>
    <w:rsid w:val="00ED223D"/>
    <w:rsid w:val="00ED30FC"/>
    <w:rsid w:val="00ED60F0"/>
    <w:rsid w:val="00EE6309"/>
    <w:rsid w:val="00EE74E4"/>
    <w:rsid w:val="00EF4875"/>
    <w:rsid w:val="00EF5257"/>
    <w:rsid w:val="00F10EEB"/>
    <w:rsid w:val="00F14BCC"/>
    <w:rsid w:val="00F15539"/>
    <w:rsid w:val="00F200F8"/>
    <w:rsid w:val="00F314F4"/>
    <w:rsid w:val="00F34F35"/>
    <w:rsid w:val="00F4614B"/>
    <w:rsid w:val="00F46BDB"/>
    <w:rsid w:val="00F4735B"/>
    <w:rsid w:val="00F54C26"/>
    <w:rsid w:val="00F57F4E"/>
    <w:rsid w:val="00F823A9"/>
    <w:rsid w:val="00F9520F"/>
    <w:rsid w:val="00FB182F"/>
    <w:rsid w:val="00FC34D3"/>
    <w:rsid w:val="00FD7886"/>
    <w:rsid w:val="00FE0A2F"/>
    <w:rsid w:val="00FE2613"/>
    <w:rsid w:val="00FE302F"/>
    <w:rsid w:val="00FE332D"/>
    <w:rsid w:val="00FE4AC4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6710-E902-4D07-9D57-B237E38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F5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3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4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4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67F3"/>
    <w:pPr>
      <w:ind w:left="720"/>
      <w:contextualSpacing/>
    </w:pPr>
  </w:style>
  <w:style w:type="table" w:styleId="Mkatabulky">
    <w:name w:val="Table Grid"/>
    <w:basedOn w:val="Normlntabulka"/>
    <w:uiPriority w:val="39"/>
    <w:rsid w:val="00ED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745E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9B5"/>
  </w:style>
  <w:style w:type="paragraph" w:styleId="Zpat">
    <w:name w:val="footer"/>
    <w:basedOn w:val="Normln"/>
    <w:link w:val="Zpat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9B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14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14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15OPMSMT0001-3-5705</_dlc_DocId>
    <_dlc_DocIdUrl xmlns="0104a4cd-1400-468e-be1b-c7aad71d7d5a">
      <Url>https://op.msmt.cz/_layouts/15/DocIdRedir.aspx?ID=15OPMSMT0001-3-5705</Url>
      <Description>15OPMSMT0001-3-5705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F414-6B36-4F01-B5E6-2CAD6A9E12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5B7BFB-9FBE-489C-ACF4-2B2EF7F5AA91}">
  <ds:schemaRefs>
    <ds:schemaRef ds:uri="http://schemas.microsoft.com/office/2006/metadata/properties"/>
    <ds:schemaRef ds:uri="http://schemas.microsoft.com/office/infopath/2007/PartnerControls"/>
    <ds:schemaRef ds:uri="0104a4cd-1400-468e-be1b-c7aad71d7d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E244FC-4D65-4997-8419-741A6B7228E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65BA353-E230-4DD5-90B7-B57F6E7E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CACB6B-FFC9-4F13-A772-8E3B5131D3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C835E9-A771-4598-83FF-9C5F7D53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Karpačová Jana</dc:creator>
  <cp:lastModifiedBy>Vícha Jiří</cp:lastModifiedBy>
  <cp:revision>2</cp:revision>
  <cp:lastPrinted>2017-04-12T10:28:00Z</cp:lastPrinted>
  <dcterms:created xsi:type="dcterms:W3CDTF">2018-02-16T14:14:00Z</dcterms:created>
  <dcterms:modified xsi:type="dcterms:W3CDTF">2018-02-16T14:14:00Z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12e583ea-e123-44a3-b9cc-1e61e4f798c6</vt:lpwstr>
  </property>
  <property fmtid="{D5CDD505-2E9C-101B-9397-08002B2CF9AE}" pid="4" name="Komentář">
    <vt:lpwstr/>
  </property>
</Properties>
</file>