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C3ECA" w14:textId="11F2CB2E" w:rsidR="009F1912" w:rsidRPr="00597952" w:rsidRDefault="005501BB" w:rsidP="00725268">
      <w:pPr>
        <w:ind w:left="5664"/>
        <w:jc w:val="left"/>
        <w:rPr>
          <w:rFonts w:cs="Arial"/>
        </w:rPr>
      </w:pPr>
      <w:bookmarkStart w:id="0" w:name="_Toc442200546"/>
      <w:bookmarkStart w:id="1" w:name="_GoBack"/>
      <w:bookmarkEnd w:id="1"/>
      <w:r w:rsidRPr="005501BB">
        <w:t xml:space="preserve"> </w:t>
      </w:r>
      <w:r>
        <w:t xml:space="preserve">            </w:t>
      </w:r>
      <w:r w:rsidR="00725268">
        <w:t xml:space="preserve">      </w:t>
      </w:r>
      <w:r>
        <w:t>Ref. No</w:t>
      </w:r>
      <w:r w:rsidR="009F1912">
        <w:t xml:space="preserve">: MEYS – </w:t>
      </w:r>
      <w:r w:rsidR="00544FB4">
        <w:t>5166</w:t>
      </w:r>
      <w:r w:rsidR="009F1912">
        <w:t>/201</w:t>
      </w:r>
      <w:r w:rsidR="00544FB4">
        <w:t>8</w:t>
      </w:r>
    </w:p>
    <w:p w14:paraId="25618262" w14:textId="53938F62" w:rsidR="009F1912" w:rsidRPr="00597952" w:rsidRDefault="005501BB" w:rsidP="005501BB">
      <w:pPr>
        <w:ind w:left="5664"/>
        <w:jc w:val="left"/>
        <w:rPr>
          <w:rFonts w:cs="Arial"/>
        </w:rPr>
      </w:pPr>
      <w:r>
        <w:t xml:space="preserve">   </w:t>
      </w:r>
      <w:r w:rsidR="00725268">
        <w:t xml:space="preserve">                     </w:t>
      </w:r>
      <w:r>
        <w:t xml:space="preserve">  </w:t>
      </w:r>
      <w:r w:rsidR="009F1912">
        <w:t xml:space="preserve">In Prague, on </w:t>
      </w:r>
      <w:r>
        <w:t>1</w:t>
      </w:r>
      <w:r w:rsidR="00544FB4">
        <w:t>5</w:t>
      </w:r>
      <w:r w:rsidR="009F1912">
        <w:t xml:space="preserve"> </w:t>
      </w:r>
      <w:r w:rsidR="00544FB4">
        <w:t>3</w:t>
      </w:r>
      <w:r w:rsidR="009F1912">
        <w:t xml:space="preserve"> 201</w:t>
      </w:r>
      <w:r w:rsidR="00544FB4">
        <w:t>8</w:t>
      </w:r>
    </w:p>
    <w:p w14:paraId="28D3A984" w14:textId="77777777" w:rsidR="009F1912" w:rsidRDefault="009F1912" w:rsidP="00FF6F49"/>
    <w:p w14:paraId="5B1B0478" w14:textId="77777777" w:rsidR="009F1912" w:rsidRPr="00381EB4" w:rsidRDefault="009F1912" w:rsidP="009F1912">
      <w:pPr>
        <w:ind w:right="48"/>
        <w:jc w:val="center"/>
        <w:rPr>
          <w:rFonts w:cs="Arial"/>
          <w:b/>
          <w:bCs/>
        </w:rPr>
      </w:pPr>
    </w:p>
    <w:p w14:paraId="36874F6E" w14:textId="77777777" w:rsidR="009F1912" w:rsidRPr="00381EB4" w:rsidRDefault="009F1912" w:rsidP="00EF7F33">
      <w:pPr>
        <w:jc w:val="center"/>
        <w:rPr>
          <w:caps/>
        </w:rPr>
      </w:pPr>
      <w:r>
        <w:t>Czech Republic – Ministry of Education, Youth and Sports</w:t>
      </w:r>
    </w:p>
    <w:p w14:paraId="7FFEEEA5" w14:textId="77777777" w:rsidR="009F1912" w:rsidRPr="00381EB4" w:rsidRDefault="009F1912" w:rsidP="009F1912">
      <w:pPr>
        <w:ind w:right="48"/>
        <w:rPr>
          <w:rFonts w:cs="Arial"/>
          <w:b/>
          <w:bCs/>
        </w:rPr>
      </w:pPr>
    </w:p>
    <w:p w14:paraId="72163F47" w14:textId="264E9C40" w:rsidR="009F1912" w:rsidRPr="000532AC" w:rsidRDefault="009F1912" w:rsidP="000532AC">
      <w:pPr>
        <w:jc w:val="center"/>
        <w:rPr>
          <w:b/>
          <w:color w:val="7EA2D1"/>
          <w:sz w:val="26"/>
          <w:szCs w:val="26"/>
        </w:rPr>
      </w:pPr>
      <w:r>
        <w:rPr>
          <w:b/>
          <w:color w:val="7EA2D1"/>
          <w:sz w:val="26"/>
        </w:rPr>
        <w:t>MANAGING AUTHORITY</w:t>
      </w:r>
    </w:p>
    <w:p w14:paraId="5A867310" w14:textId="77777777" w:rsidR="009F1912" w:rsidRPr="003B2F41" w:rsidRDefault="009F1912" w:rsidP="003B2F41">
      <w:pPr>
        <w:jc w:val="center"/>
        <w:rPr>
          <w:b/>
          <w:color w:val="7EA2D1"/>
          <w:sz w:val="26"/>
          <w:szCs w:val="26"/>
        </w:rPr>
      </w:pPr>
      <w:r>
        <w:rPr>
          <w:b/>
          <w:color w:val="7EA2D1"/>
          <w:sz w:val="26"/>
        </w:rPr>
        <w:t>OPERATIONAL PROGRAMME RESEARCH, DEVELOPMENT AND EDUCATION</w:t>
      </w:r>
    </w:p>
    <w:p w14:paraId="72F918C8" w14:textId="77777777" w:rsidR="009F1912" w:rsidRPr="00381EB4" w:rsidRDefault="009F1912" w:rsidP="009F1912">
      <w:pPr>
        <w:autoSpaceDE w:val="0"/>
        <w:autoSpaceDN w:val="0"/>
        <w:adjustRightInd w:val="0"/>
        <w:ind w:right="48"/>
        <w:rPr>
          <w:rFonts w:cs="Arial"/>
        </w:rPr>
      </w:pPr>
    </w:p>
    <w:p w14:paraId="5938A70B" w14:textId="77777777" w:rsidR="009F1912" w:rsidRPr="00597952" w:rsidRDefault="009F1912" w:rsidP="00EF7F33">
      <w:pPr>
        <w:jc w:val="center"/>
      </w:pPr>
      <w:r>
        <w:t>announces</w:t>
      </w:r>
    </w:p>
    <w:p w14:paraId="6D6D2A88" w14:textId="77777777" w:rsidR="009F1912" w:rsidRPr="00381EB4" w:rsidRDefault="009F1912" w:rsidP="009F1912">
      <w:pPr>
        <w:pStyle w:val="StylNormlndkovnjednoduch"/>
        <w:spacing w:before="0"/>
        <w:ind w:right="4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D13A27" w14:textId="77777777" w:rsidR="00986BF2" w:rsidRDefault="009F1912" w:rsidP="003B2F41">
      <w:pPr>
        <w:jc w:val="center"/>
        <w:rPr>
          <w:b/>
          <w:color w:val="003399"/>
          <w:sz w:val="28"/>
          <w:szCs w:val="28"/>
        </w:rPr>
      </w:pPr>
      <w:r>
        <w:rPr>
          <w:b/>
          <w:color w:val="003399"/>
          <w:sz w:val="28"/>
        </w:rPr>
        <w:t xml:space="preserve">THE CALL </w:t>
      </w:r>
    </w:p>
    <w:p w14:paraId="1005A5EF" w14:textId="1CFCB954" w:rsidR="009F1912" w:rsidRPr="003B2F41" w:rsidRDefault="0067678B" w:rsidP="000262B2">
      <w:pPr>
        <w:pStyle w:val="Odstavecseseznamem"/>
      </w:pPr>
      <w:r>
        <w:t xml:space="preserve">International </w:t>
      </w:r>
      <w:r w:rsidR="007408A5">
        <w:t>M</w:t>
      </w:r>
      <w:r>
        <w:t xml:space="preserve">obility of </w:t>
      </w:r>
      <w:r w:rsidR="007408A5">
        <w:t>R</w:t>
      </w:r>
      <w:r>
        <w:t>esearchers – MSCA– IF</w:t>
      </w:r>
      <w:r w:rsidR="00544FB4">
        <w:t xml:space="preserve"> II</w:t>
      </w:r>
    </w:p>
    <w:p w14:paraId="4902FC35" w14:textId="3AE48471" w:rsidR="00412DF0" w:rsidRDefault="00412DF0" w:rsidP="00412DF0">
      <w:pPr>
        <w:pStyle w:val="StylNormlndkovnjednoduch"/>
        <w:spacing w:before="0"/>
        <w:ind w:left="-26" w:right="38"/>
        <w:jc w:val="center"/>
        <w:rPr>
          <w:rFonts w:ascii="Arial" w:hAnsi="Arial" w:cs="Arial"/>
          <w:b/>
          <w:sz w:val="22"/>
          <w:szCs w:val="22"/>
        </w:rPr>
      </w:pPr>
    </w:p>
    <w:p w14:paraId="51801EF8" w14:textId="77777777" w:rsidR="00412DF0" w:rsidRPr="00381EB4" w:rsidRDefault="00412DF0" w:rsidP="00412DF0">
      <w:pPr>
        <w:pStyle w:val="StylNormlndkovnjednoduch"/>
        <w:spacing w:before="0"/>
        <w:ind w:left="-26" w:right="38"/>
        <w:jc w:val="center"/>
        <w:rPr>
          <w:rFonts w:ascii="Arial" w:hAnsi="Arial" w:cs="Arial"/>
          <w:b/>
          <w:sz w:val="22"/>
          <w:szCs w:val="22"/>
        </w:rPr>
      </w:pPr>
    </w:p>
    <w:p w14:paraId="2F5559E7" w14:textId="37CB1EF2" w:rsidR="009F1912" w:rsidRPr="001C09C9" w:rsidRDefault="009F1912" w:rsidP="00EF7F33">
      <w:pPr>
        <w:jc w:val="center"/>
      </w:pPr>
      <w:r>
        <w:t xml:space="preserve">for </w:t>
      </w:r>
      <w:r w:rsidR="007408A5">
        <w:t xml:space="preserve">the submission of grant </w:t>
      </w:r>
      <w:r>
        <w:t>applications of individual projects with simplified cost reporting under the Operational Programme Research, Development and Education</w:t>
      </w:r>
    </w:p>
    <w:p w14:paraId="11919780" w14:textId="77777777" w:rsidR="00412DF0" w:rsidRPr="001C09C9" w:rsidRDefault="00412DF0" w:rsidP="009F1912">
      <w:pPr>
        <w:rPr>
          <w:rFonts w:cs="Arial"/>
          <w:i/>
        </w:rPr>
      </w:pPr>
    </w:p>
    <w:tbl>
      <w:tblPr>
        <w:tblW w:w="3754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3401"/>
      </w:tblGrid>
      <w:tr w:rsidR="00412DF0" w:rsidRPr="001C09C9" w14:paraId="099C639D" w14:textId="77777777" w:rsidTr="00412DF0">
        <w:trPr>
          <w:trHeight w:val="425"/>
          <w:jc w:val="center"/>
        </w:trPr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bookmarkEnd w:id="0"/>
          <w:p w14:paraId="2900DF59" w14:textId="503EA7AC" w:rsidR="00412DF0" w:rsidRPr="001C09C9" w:rsidRDefault="000F787E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CALL VERSION: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18515A7" w14:textId="5F60FE8B" w:rsidR="00412DF0" w:rsidRPr="001C09C9" w:rsidRDefault="005434A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</w:tr>
      <w:tr w:rsidR="00412DF0" w:rsidRPr="001C09C9" w14:paraId="7D9E523B" w14:textId="77777777" w:rsidTr="00412DF0">
        <w:trPr>
          <w:trHeight w:val="425"/>
          <w:jc w:val="center"/>
        </w:trPr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FA63D80" w14:textId="77777777" w:rsidR="00412DF0" w:rsidRPr="001C09C9" w:rsidRDefault="00412DF0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VALID FROM:</w:t>
            </w:r>
          </w:p>
        </w:tc>
        <w:tc>
          <w:tcPr>
            <w:tcW w:w="250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7922B92" w14:textId="5F214E49" w:rsidR="00412DF0" w:rsidRPr="001C09C9" w:rsidRDefault="00412DF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On the date of pu</w:t>
            </w:r>
            <w:r w:rsidR="001819BE">
              <w:rPr>
                <w:rFonts w:cstheme="minorHAnsi"/>
                <w:color w:val="000000"/>
              </w:rPr>
              <w:t xml:space="preserve">blication of the website of </w:t>
            </w:r>
            <w:r>
              <w:rPr>
                <w:rFonts w:cstheme="minorHAnsi"/>
                <w:color w:val="000000"/>
              </w:rPr>
              <w:t>MEYS – OP RDE</w:t>
            </w:r>
          </w:p>
        </w:tc>
      </w:tr>
      <w:tr w:rsidR="00412DF0" w:rsidRPr="001C09C9" w14:paraId="5087D050" w14:textId="77777777" w:rsidTr="00412DF0">
        <w:trPr>
          <w:trHeight w:val="168"/>
          <w:jc w:val="center"/>
        </w:trPr>
        <w:tc>
          <w:tcPr>
            <w:tcW w:w="2500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DC5AB9A" w14:textId="77777777" w:rsidR="00412DF0" w:rsidRPr="001C09C9" w:rsidRDefault="00412DF0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3550AAF" w14:textId="77777777" w:rsidR="00412DF0" w:rsidRPr="001C09C9" w:rsidRDefault="00412DF0">
            <w:pPr>
              <w:spacing w:after="0" w:line="256" w:lineRule="auto"/>
              <w:jc w:val="left"/>
              <w:rPr>
                <w:rFonts w:cstheme="minorHAnsi"/>
                <w:color w:val="000000"/>
              </w:rPr>
            </w:pPr>
          </w:p>
        </w:tc>
      </w:tr>
      <w:tr w:rsidR="00412DF0" w14:paraId="0CF10F78" w14:textId="77777777" w:rsidTr="00412DF0">
        <w:trPr>
          <w:trHeight w:val="425"/>
          <w:jc w:val="center"/>
        </w:trPr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54F66C1" w14:textId="77777777" w:rsidR="00412DF0" w:rsidRPr="001C09C9" w:rsidRDefault="00412DF0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EFFECTIVE FROM: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225BDD9" w14:textId="3C1789E8" w:rsidR="00412DF0" w:rsidRDefault="005501BB" w:rsidP="005434A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5434AB">
              <w:rPr>
                <w:rFonts w:cstheme="minorHAnsi"/>
                <w:color w:val="000000"/>
              </w:rPr>
              <w:t>5</w:t>
            </w:r>
            <w:r w:rsidR="00C3091C">
              <w:rPr>
                <w:rFonts w:cstheme="minorHAnsi"/>
                <w:color w:val="000000"/>
              </w:rPr>
              <w:t xml:space="preserve"> </w:t>
            </w:r>
            <w:r w:rsidR="005434AB">
              <w:rPr>
                <w:rFonts w:cstheme="minorHAnsi"/>
                <w:color w:val="000000"/>
              </w:rPr>
              <w:t>March</w:t>
            </w:r>
            <w:r w:rsidR="00C3091C">
              <w:rPr>
                <w:rFonts w:cstheme="minorHAnsi"/>
                <w:color w:val="000000"/>
              </w:rPr>
              <w:t xml:space="preserve"> 201</w:t>
            </w:r>
            <w:r w:rsidR="005434AB">
              <w:rPr>
                <w:rFonts w:cstheme="minorHAnsi"/>
                <w:color w:val="000000"/>
              </w:rPr>
              <w:t>8</w:t>
            </w:r>
          </w:p>
        </w:tc>
      </w:tr>
    </w:tbl>
    <w:p w14:paraId="53AC938C" w14:textId="2033A60E" w:rsidR="00412DF0" w:rsidRDefault="00412DF0" w:rsidP="00EB15B5">
      <w:pPr>
        <w:pStyle w:val="Nadpis1"/>
        <w:numPr>
          <w:ilvl w:val="0"/>
          <w:numId w:val="0"/>
        </w:numPr>
      </w:pPr>
      <w:r>
        <w:t>Annotation of the Call</w:t>
      </w:r>
    </w:p>
    <w:p w14:paraId="3C3E467E" w14:textId="17D3371C" w:rsidR="007D482F" w:rsidRDefault="007D482F" w:rsidP="007D482F">
      <w:pPr>
        <w:pStyle w:val="MPtextodr"/>
        <w:widowControl w:val="0"/>
        <w:numPr>
          <w:ilvl w:val="0"/>
          <w:numId w:val="0"/>
        </w:numPr>
        <w:adjustRightInd w:val="0"/>
        <w:spacing w:line="276" w:lineRule="auto"/>
        <w:textAlignment w:val="baseline"/>
      </w:pPr>
      <w:r>
        <w:rPr>
          <w:rFonts w:eastAsiaTheme="majorEastAsia"/>
          <w:sz w:val="22"/>
        </w:rPr>
        <w:t>The objective of the Call is to develop human resources in research by supporting quality projects approved at the European level from Horizon 2020, the Marie Skłodowska-Curie Actions that are included in the “no-money” list. The main aim is to support a professional growth of researchers, to support quality research, education for practice, development of communication and cooperation. Support will be given only to European Fellowship projects.</w:t>
      </w:r>
    </w:p>
    <w:p w14:paraId="7850C397" w14:textId="3A1AA0E8" w:rsidR="009F1912" w:rsidRPr="00381EB4" w:rsidRDefault="00A46F4F" w:rsidP="009F1912">
      <w:pPr>
        <w:pStyle w:val="Nadpis1"/>
      </w:pPr>
      <w:r>
        <w:t>Call I</w:t>
      </w:r>
      <w:r w:rsidR="009F1912">
        <w:t>dentification</w:t>
      </w:r>
    </w:p>
    <w:p w14:paraId="0CFE2AB9" w14:textId="147A2F43" w:rsidR="00986BF2" w:rsidRPr="00EB15B5" w:rsidRDefault="009F1912" w:rsidP="00EB15B5">
      <w:pPr>
        <w:pStyle w:val="Nadpis2"/>
      </w:pPr>
      <w:r>
        <w:t xml:space="preserve">Priority Axis </w:t>
      </w:r>
    </w:p>
    <w:p w14:paraId="5CBE439E" w14:textId="6225879E" w:rsidR="00412DF0" w:rsidRPr="00D63E6F" w:rsidRDefault="00412DF0" w:rsidP="000262B2">
      <w:r>
        <w:t xml:space="preserve">PA 2 – Development of </w:t>
      </w:r>
      <w:r w:rsidR="00A46F4F">
        <w:t xml:space="preserve">universities </w:t>
      </w:r>
      <w:r>
        <w:t>and human resources for research and development</w:t>
      </w:r>
    </w:p>
    <w:p w14:paraId="54D0CE93" w14:textId="354174CC" w:rsidR="009F1912" w:rsidRPr="00D63E6F" w:rsidRDefault="009F1912" w:rsidP="009F1912">
      <w:pPr>
        <w:pStyle w:val="Nadpis2"/>
      </w:pPr>
      <w:r>
        <w:t>Investment Priority</w:t>
      </w:r>
    </w:p>
    <w:p w14:paraId="415BFAF6" w14:textId="3CEF2AF8" w:rsidR="00D63E6F" w:rsidRPr="004C4989" w:rsidRDefault="00412DF0" w:rsidP="00D63E6F">
      <w:pPr>
        <w:spacing w:line="240" w:lineRule="auto"/>
      </w:pPr>
      <w:r>
        <w:t>IP 1 - – Improving the quality and efficiency of, and access to, tertiary and equivalent education with a</w:t>
      </w:r>
      <w:r w:rsidR="00D50C49">
        <w:t> </w:t>
      </w:r>
      <w:r>
        <w:t>view to increasing participation and attainment levels, especially for disadvantaged groups</w:t>
      </w:r>
    </w:p>
    <w:p w14:paraId="074D2A97" w14:textId="39167F81" w:rsidR="00986BF2" w:rsidRPr="00EB15B5" w:rsidRDefault="00D50C49" w:rsidP="00EB15B5">
      <w:pPr>
        <w:pStyle w:val="Nadpis3"/>
      </w:pPr>
      <w:r>
        <w:t>Specific O</w:t>
      </w:r>
      <w:r w:rsidR="009F1912">
        <w:t>bjective</w:t>
      </w:r>
    </w:p>
    <w:p w14:paraId="2E2EFD76" w14:textId="76D6B34A" w:rsidR="00412DF0" w:rsidRDefault="00412DF0" w:rsidP="000262B2">
      <w:r>
        <w:t>SO 5 - Improving the conditions for education related to research and for the development of human resources in research and development</w:t>
      </w:r>
    </w:p>
    <w:p w14:paraId="14C8475D" w14:textId="124D904A" w:rsidR="009F1912" w:rsidRDefault="00D50C49" w:rsidP="009F1912">
      <w:pPr>
        <w:pStyle w:val="Nadpis2"/>
      </w:pPr>
      <w:r>
        <w:t>Call N</w:t>
      </w:r>
      <w:r w:rsidR="009F1912">
        <w:t>umber</w:t>
      </w:r>
    </w:p>
    <w:p w14:paraId="1EBB637C" w14:textId="51CAB56F" w:rsidR="00412DF0" w:rsidRDefault="00412DF0" w:rsidP="000262B2">
      <w:r>
        <w:t>02_1</w:t>
      </w:r>
      <w:r w:rsidR="007E50BE">
        <w:t>8</w:t>
      </w:r>
      <w:r>
        <w:t>_</w:t>
      </w:r>
      <w:r>
        <w:rPr>
          <w:color w:val="auto"/>
        </w:rPr>
        <w:t>0</w:t>
      </w:r>
      <w:r w:rsidR="007E50BE">
        <w:rPr>
          <w:color w:val="auto"/>
        </w:rPr>
        <w:t>7</w:t>
      </w:r>
      <w:r>
        <w:rPr>
          <w:color w:val="auto"/>
        </w:rPr>
        <w:t>0</w:t>
      </w:r>
      <w:r>
        <w:rPr>
          <w:vertAlign w:val="superscript"/>
        </w:rPr>
        <w:t xml:space="preserve"> </w:t>
      </w:r>
    </w:p>
    <w:p w14:paraId="62667E38" w14:textId="5E4A862A" w:rsidR="009F1912" w:rsidRPr="004D199E" w:rsidRDefault="009F1912" w:rsidP="009F1912">
      <w:pPr>
        <w:pStyle w:val="Nadpis2"/>
      </w:pPr>
      <w:r>
        <w:lastRenderedPageBreak/>
        <w:t xml:space="preserve">Type of </w:t>
      </w:r>
      <w:r w:rsidR="00A46F4F">
        <w:t>Supported O</w:t>
      </w:r>
      <w:r>
        <w:t>perations/</w:t>
      </w:r>
      <w:r w:rsidR="00A46F4F">
        <w:t>P</w:t>
      </w:r>
      <w:r>
        <w:t>rojects</w:t>
      </w:r>
    </w:p>
    <w:p w14:paraId="326C38BC" w14:textId="77777777" w:rsidR="00D62669" w:rsidRPr="00597952" w:rsidRDefault="00D62669" w:rsidP="00D62669">
      <w:r>
        <w:t>Individual project with a simplified reporting of costs</w:t>
      </w:r>
    </w:p>
    <w:p w14:paraId="0B3BB132" w14:textId="2E71D2BB" w:rsidR="009F1912" w:rsidRPr="004D199E" w:rsidRDefault="00D50C49" w:rsidP="009F1912">
      <w:pPr>
        <w:pStyle w:val="Nadpis2"/>
      </w:pPr>
      <w:r>
        <w:t>Call T</w:t>
      </w:r>
      <w:r w:rsidR="00DF2175">
        <w:t>ype</w:t>
      </w:r>
    </w:p>
    <w:p w14:paraId="4F1CBA41" w14:textId="30BBED03" w:rsidR="00412DF0" w:rsidRPr="00D62669" w:rsidRDefault="00D62669" w:rsidP="000262B2">
      <w:r>
        <w:t>Ongoing call</w:t>
      </w:r>
    </w:p>
    <w:p w14:paraId="620479FE" w14:textId="0B3D34CC" w:rsidR="009F1912" w:rsidRPr="004D199E" w:rsidRDefault="00D62669" w:rsidP="000262B2">
      <w:pPr>
        <w:rPr>
          <w:i/>
        </w:rPr>
      </w:pPr>
      <w:r>
        <w:t>Complementary call (Horizon 2020)</w:t>
      </w:r>
    </w:p>
    <w:p w14:paraId="60C8E81A" w14:textId="0DB19C64" w:rsidR="009F1912" w:rsidRPr="004D199E" w:rsidRDefault="00D50C49" w:rsidP="009F1912">
      <w:pPr>
        <w:pStyle w:val="Nadpis2"/>
      </w:pPr>
      <w:r>
        <w:t>Evaluation M</w:t>
      </w:r>
      <w:r w:rsidR="00DF2175">
        <w:t>odel</w:t>
      </w:r>
    </w:p>
    <w:p w14:paraId="43DF240F" w14:textId="14722EC4" w:rsidR="00412DF0" w:rsidRDefault="00D62669" w:rsidP="000262B2">
      <w:bookmarkStart w:id="2" w:name="_Toc460571259"/>
      <w:r>
        <w:t>Single-round</w:t>
      </w:r>
    </w:p>
    <w:p w14:paraId="58E8C686" w14:textId="77777777" w:rsidR="009F1912" w:rsidRPr="00381EB4" w:rsidRDefault="009F1912" w:rsidP="009F1912">
      <w:pPr>
        <w:pStyle w:val="Nadpis1"/>
      </w:pPr>
      <w:r>
        <w:t>Schedule</w:t>
      </w:r>
      <w:bookmarkEnd w:id="2"/>
      <w:r>
        <w:t xml:space="preserve"> </w:t>
      </w:r>
    </w:p>
    <w:p w14:paraId="24209AFB" w14:textId="1F94A415" w:rsidR="000558F7" w:rsidRDefault="000558F7" w:rsidP="009F1912">
      <w:pPr>
        <w:pStyle w:val="Nadpis2"/>
      </w:pPr>
      <w:r>
        <w:t xml:space="preserve">Date of Call </w:t>
      </w:r>
      <w:r w:rsidR="00D50C49">
        <w:t>P</w:t>
      </w:r>
      <w:r>
        <w:t xml:space="preserve">ublication on the </w:t>
      </w:r>
      <w:r w:rsidR="00D50C49">
        <w:t>W</w:t>
      </w:r>
      <w:r>
        <w:t>ebsite:</w:t>
      </w:r>
    </w:p>
    <w:p w14:paraId="695F5233" w14:textId="413C3772" w:rsidR="000558F7" w:rsidRPr="000558F7" w:rsidRDefault="008118CB" w:rsidP="000558F7">
      <w:r>
        <w:t xml:space="preserve">15 </w:t>
      </w:r>
      <w:r w:rsidR="007E50BE">
        <w:t xml:space="preserve">March </w:t>
      </w:r>
      <w:r>
        <w:t>201</w:t>
      </w:r>
      <w:r w:rsidR="007E50BE">
        <w:t>8</w:t>
      </w:r>
      <w:r>
        <w:t xml:space="preserve">  </w:t>
      </w:r>
    </w:p>
    <w:p w14:paraId="6DD12BB3" w14:textId="10EDDBDC" w:rsidR="009F1912" w:rsidRDefault="008E6393" w:rsidP="009F1912">
      <w:pPr>
        <w:pStyle w:val="Nadpis2"/>
      </w:pPr>
      <w:r>
        <w:t>Date of Call A</w:t>
      </w:r>
      <w:r w:rsidR="009F1912">
        <w:t xml:space="preserve">nnouncement </w:t>
      </w:r>
      <w:r>
        <w:t>(</w:t>
      </w:r>
      <w:r w:rsidR="009F1912">
        <w:t xml:space="preserve">i.e. making the </w:t>
      </w:r>
      <w:r>
        <w:t xml:space="preserve">grant </w:t>
      </w:r>
      <w:r w:rsidR="009F1912">
        <w:t>application available in IS KP14+</w:t>
      </w:r>
      <w:r>
        <w:t>)</w:t>
      </w:r>
      <w:r w:rsidR="009F1912">
        <w:t>:</w:t>
      </w:r>
    </w:p>
    <w:p w14:paraId="6BDA5A22" w14:textId="12FBB269" w:rsidR="0069537D" w:rsidRPr="004D199E" w:rsidRDefault="001173F1" w:rsidP="0069537D">
      <w:r>
        <w:t>15 March</w:t>
      </w:r>
      <w:r w:rsidR="00C3091C">
        <w:t xml:space="preserve"> 201</w:t>
      </w:r>
      <w:r>
        <w:t>8</w:t>
      </w:r>
      <w:r w:rsidR="00C3091C">
        <w:t>, at 1</w:t>
      </w:r>
      <w:r>
        <w:t>0 a</w:t>
      </w:r>
      <w:r w:rsidR="00C3091C">
        <w:t>m</w:t>
      </w:r>
    </w:p>
    <w:p w14:paraId="1863E69A" w14:textId="3B196007" w:rsidR="009F1912" w:rsidRDefault="009F1912" w:rsidP="002D2E32">
      <w:pPr>
        <w:pStyle w:val="Nadpis2"/>
      </w:pPr>
      <w:r>
        <w:t xml:space="preserve">Start </w:t>
      </w:r>
      <w:r w:rsidR="008E6393">
        <w:t>D</w:t>
      </w:r>
      <w:r>
        <w:t xml:space="preserve">ate </w:t>
      </w:r>
      <w:r w:rsidR="00F55C58">
        <w:t xml:space="preserve">for </w:t>
      </w:r>
      <w:r w:rsidR="008E6393">
        <w:t>the Acceptance of Grant A</w:t>
      </w:r>
      <w:r>
        <w:t>pplications:</w:t>
      </w:r>
    </w:p>
    <w:p w14:paraId="47E10209" w14:textId="5AA7976E" w:rsidR="009F1912" w:rsidRDefault="001173F1" w:rsidP="009F1912">
      <w:pPr>
        <w:pStyle w:val="Nadpis2"/>
      </w:pPr>
      <w:r>
        <w:t>15 March 2018, at 10 am</w:t>
      </w:r>
      <w:r w:rsidDel="001173F1">
        <w:t xml:space="preserve"> </w:t>
      </w:r>
      <w:r w:rsidR="009F1912">
        <w:t xml:space="preserve">End </w:t>
      </w:r>
      <w:r w:rsidR="008E6393">
        <w:t>D</w:t>
      </w:r>
      <w:r w:rsidR="009F1912">
        <w:t xml:space="preserve">ate for the </w:t>
      </w:r>
      <w:r w:rsidR="008E6393">
        <w:t xml:space="preserve">Acceptance </w:t>
      </w:r>
      <w:r w:rsidR="009F1912">
        <w:t xml:space="preserve">of </w:t>
      </w:r>
      <w:r w:rsidR="008E6393">
        <w:t>the Grant A</w:t>
      </w:r>
      <w:r w:rsidR="009F1912">
        <w:t>pplications:</w:t>
      </w:r>
    </w:p>
    <w:p w14:paraId="3A7BCE74" w14:textId="31DD9CB5" w:rsidR="00F95509" w:rsidRPr="005D37E3" w:rsidRDefault="001173F1" w:rsidP="005D37E3">
      <w:pPr>
        <w:pStyle w:val="Nadpis2"/>
        <w:keepNext w:val="0"/>
        <w:numPr>
          <w:ilvl w:val="0"/>
          <w:numId w:val="0"/>
        </w:numPr>
        <w:spacing w:before="200" w:after="0"/>
        <w:rPr>
          <w:rFonts w:eastAsiaTheme="minorHAnsi" w:cstheme="minorBidi"/>
          <w:b w:val="0"/>
          <w:color w:val="auto"/>
          <w:sz w:val="22"/>
          <w:szCs w:val="22"/>
        </w:rPr>
      </w:pPr>
      <w:r>
        <w:rPr>
          <w:rFonts w:eastAsiaTheme="minorHAnsi" w:cstheme="minorBidi"/>
          <w:b w:val="0"/>
          <w:color w:val="auto"/>
          <w:sz w:val="22"/>
          <w:szCs w:val="22"/>
        </w:rPr>
        <w:t>3</w:t>
      </w:r>
      <w:r w:rsidR="00F95509" w:rsidRPr="005D37E3">
        <w:rPr>
          <w:rFonts w:eastAsiaTheme="minorHAnsi" w:cstheme="minorBidi"/>
          <w:b w:val="0"/>
          <w:color w:val="auto"/>
          <w:sz w:val="22"/>
          <w:szCs w:val="22"/>
        </w:rPr>
        <w:t xml:space="preserve">1 </w:t>
      </w:r>
      <w:r>
        <w:rPr>
          <w:rFonts w:eastAsiaTheme="minorHAnsi" w:cstheme="minorBidi"/>
          <w:b w:val="0"/>
          <w:color w:val="auto"/>
          <w:sz w:val="22"/>
          <w:szCs w:val="22"/>
        </w:rPr>
        <w:t>August</w:t>
      </w:r>
      <w:r w:rsidR="005D37E3" w:rsidRPr="005D37E3">
        <w:rPr>
          <w:rFonts w:eastAsiaTheme="minorHAnsi" w:cstheme="minorBidi"/>
          <w:b w:val="0"/>
          <w:color w:val="auto"/>
          <w:sz w:val="22"/>
          <w:szCs w:val="22"/>
        </w:rPr>
        <w:t xml:space="preserve"> </w:t>
      </w:r>
      <w:r w:rsidR="00F95509" w:rsidRPr="005D37E3">
        <w:rPr>
          <w:rFonts w:eastAsiaTheme="minorHAnsi" w:cstheme="minorBidi"/>
          <w:b w:val="0"/>
          <w:color w:val="auto"/>
          <w:sz w:val="22"/>
          <w:szCs w:val="22"/>
        </w:rPr>
        <w:t>201</w:t>
      </w:r>
      <w:r>
        <w:rPr>
          <w:rFonts w:eastAsiaTheme="minorHAnsi" w:cstheme="minorBidi"/>
          <w:b w:val="0"/>
          <w:color w:val="auto"/>
          <w:sz w:val="22"/>
          <w:szCs w:val="22"/>
        </w:rPr>
        <w:t>8</w:t>
      </w:r>
      <w:r w:rsidR="00F95509" w:rsidRPr="005D37E3">
        <w:rPr>
          <w:rFonts w:eastAsiaTheme="minorHAnsi" w:cstheme="minorBidi"/>
          <w:b w:val="0"/>
          <w:color w:val="auto"/>
          <w:sz w:val="22"/>
          <w:szCs w:val="22"/>
        </w:rPr>
        <w:t xml:space="preserve">, 2pm </w:t>
      </w:r>
    </w:p>
    <w:p w14:paraId="177CF682" w14:textId="2A04B4DA" w:rsidR="009F1912" w:rsidRDefault="009F1912" w:rsidP="009F1912">
      <w:pPr>
        <w:pStyle w:val="Nadpis2"/>
      </w:pPr>
      <w:r>
        <w:t xml:space="preserve">Latest </w:t>
      </w:r>
      <w:r w:rsidR="008E6393">
        <w:t>D</w:t>
      </w:r>
      <w:r>
        <w:t xml:space="preserve">ate for </w:t>
      </w:r>
      <w:r w:rsidR="002C284B">
        <w:t>C</w:t>
      </w:r>
      <w:r>
        <w:t xml:space="preserve">ompletion of the </w:t>
      </w:r>
      <w:r w:rsidR="002C284B">
        <w:t>P</w:t>
      </w:r>
      <w:r>
        <w:t xml:space="preserve">hysical </w:t>
      </w:r>
      <w:r w:rsidR="002C284B">
        <w:t>I</w:t>
      </w:r>
      <w:r>
        <w:t xml:space="preserve">mplementation of the </w:t>
      </w:r>
      <w:r w:rsidR="002C284B">
        <w:t>P</w:t>
      </w:r>
      <w:r>
        <w:t>roject:</w:t>
      </w:r>
    </w:p>
    <w:p w14:paraId="2C790FFB" w14:textId="77777777" w:rsidR="00412DF0" w:rsidRDefault="00412DF0" w:rsidP="000262B2">
      <w:r>
        <w:t>31 December 2022</w:t>
      </w:r>
    </w:p>
    <w:p w14:paraId="7D921714" w14:textId="6CC4BB53" w:rsidR="009F1912" w:rsidRDefault="00F55C58" w:rsidP="009F1912">
      <w:pPr>
        <w:pStyle w:val="Nadpis2"/>
      </w:pPr>
      <w:r>
        <w:lastRenderedPageBreak/>
        <w:t>Minimum/M</w:t>
      </w:r>
      <w:r w:rsidR="009F1912">
        <w:t xml:space="preserve">aximum </w:t>
      </w:r>
      <w:r>
        <w:t xml:space="preserve">Project </w:t>
      </w:r>
      <w:r w:rsidR="002C284B">
        <w:t>D</w:t>
      </w:r>
      <w:r w:rsidR="009F1912">
        <w:t>uration:</w:t>
      </w:r>
    </w:p>
    <w:p w14:paraId="2290FABB" w14:textId="658D06F9" w:rsidR="00986BF2" w:rsidRPr="0033471D" w:rsidRDefault="00F11570" w:rsidP="000262B2">
      <w:r>
        <w:t xml:space="preserve">Minimum duration: 12 months </w:t>
      </w:r>
    </w:p>
    <w:p w14:paraId="04FD5E45" w14:textId="30BC1BA9" w:rsidR="00F11570" w:rsidRDefault="00F11570" w:rsidP="000262B2">
      <w:r>
        <w:t>Maximum duration: 51 months</w:t>
      </w:r>
    </w:p>
    <w:p w14:paraId="6C3DD657" w14:textId="7D84D391" w:rsidR="009F1912" w:rsidRPr="00381EB4" w:rsidRDefault="009F1912" w:rsidP="009F1912">
      <w:pPr>
        <w:pStyle w:val="Nadpis1"/>
      </w:pPr>
      <w:bookmarkStart w:id="3" w:name="_Toc460571260"/>
      <w:r>
        <w:t xml:space="preserve">Form of </w:t>
      </w:r>
      <w:bookmarkEnd w:id="3"/>
      <w:r w:rsidR="002C284B">
        <w:t>Support</w:t>
      </w:r>
    </w:p>
    <w:p w14:paraId="1B54B78D" w14:textId="19CDC0B0" w:rsidR="009F1912" w:rsidRDefault="002C284B" w:rsidP="009F1912">
      <w:pPr>
        <w:pStyle w:val="Nadpis2"/>
      </w:pPr>
      <w:r>
        <w:t>A</w:t>
      </w:r>
      <w:r w:rsidR="009F1912">
        <w:t>llocation</w:t>
      </w:r>
      <w:r>
        <w:t xml:space="preserve"> for the Call</w:t>
      </w:r>
    </w:p>
    <w:p w14:paraId="0FB73FA3" w14:textId="1DD18AEC" w:rsidR="00D43A37" w:rsidRPr="004C4989" w:rsidRDefault="004C1E4D" w:rsidP="00D43A37">
      <w:r>
        <w:t xml:space="preserve">CZK </w:t>
      </w:r>
      <w:r w:rsidR="001173F1">
        <w:t>2</w:t>
      </w:r>
      <w:r>
        <w:t>50,000,000</w:t>
      </w:r>
      <w:r>
        <w:rPr>
          <w:rStyle w:val="Znakapoznpodarou"/>
        </w:rPr>
        <w:footnoteReference w:id="2"/>
      </w:r>
    </w:p>
    <w:p w14:paraId="1C125E16" w14:textId="6FE3E036" w:rsidR="009F1912" w:rsidRDefault="00F55C58" w:rsidP="009F1912">
      <w:pPr>
        <w:pStyle w:val="Nadpis2"/>
      </w:pPr>
      <w:r>
        <w:t>Minimum/M</w:t>
      </w:r>
      <w:r w:rsidR="009F1912">
        <w:t xml:space="preserve">aximum </w:t>
      </w:r>
      <w:r w:rsidR="002C284B">
        <w:t>T</w:t>
      </w:r>
      <w:r w:rsidR="009F1912">
        <w:t xml:space="preserve">otal </w:t>
      </w:r>
      <w:r w:rsidR="002C284B">
        <w:t>E</w:t>
      </w:r>
      <w:r w:rsidR="009F1912">
        <w:t xml:space="preserve">ligible </w:t>
      </w:r>
      <w:r w:rsidR="002C284B">
        <w:t>E</w:t>
      </w:r>
      <w:r w:rsidR="009F1912">
        <w:t>xpenditure</w:t>
      </w:r>
    </w:p>
    <w:p w14:paraId="69572222" w14:textId="6D0787E7" w:rsidR="00412DF0" w:rsidRPr="00412DF0" w:rsidRDefault="00F11570" w:rsidP="000262B2">
      <w:r>
        <w:t xml:space="preserve">Minimum </w:t>
      </w:r>
      <w:r w:rsidR="00F55C58">
        <w:t>expenditure: n</w:t>
      </w:r>
      <w:r>
        <w:t>ot specified</w:t>
      </w:r>
    </w:p>
    <w:p w14:paraId="2C3C30D2" w14:textId="2375F304" w:rsidR="00D43A37" w:rsidRDefault="00F11570" w:rsidP="00D43A37">
      <w:pPr>
        <w:pStyle w:val="Nadpis2"/>
        <w:keepNext w:val="0"/>
        <w:numPr>
          <w:ilvl w:val="0"/>
          <w:numId w:val="0"/>
        </w:numPr>
        <w:tabs>
          <w:tab w:val="left" w:pos="1134"/>
        </w:tabs>
        <w:spacing w:before="200" w:after="0"/>
        <w:ind w:left="578" w:hanging="578"/>
        <w:rPr>
          <w:rFonts w:cs="Arial"/>
          <w:b w:val="0"/>
          <w:i/>
          <w:color w:val="auto"/>
          <w:sz w:val="22"/>
          <w:szCs w:val="24"/>
        </w:rPr>
      </w:pPr>
      <w:r>
        <w:rPr>
          <w:rFonts w:eastAsiaTheme="minorHAnsi" w:cstheme="minorBidi"/>
          <w:b w:val="0"/>
          <w:color w:val="000000" w:themeColor="text1"/>
          <w:sz w:val="22"/>
        </w:rPr>
        <w:t>Maximum expenditure:</w:t>
      </w:r>
      <w:r>
        <w:t xml:space="preserve"> </w:t>
      </w:r>
      <w:r>
        <w:rPr>
          <w:b w:val="0"/>
          <w:color w:val="auto"/>
          <w:sz w:val="22"/>
        </w:rPr>
        <w:t xml:space="preserve">CZK </w:t>
      </w:r>
      <w:r w:rsidR="001173F1">
        <w:rPr>
          <w:b w:val="0"/>
          <w:color w:val="auto"/>
          <w:sz w:val="22"/>
        </w:rPr>
        <w:t>100</w:t>
      </w:r>
      <w:r>
        <w:rPr>
          <w:b w:val="0"/>
          <w:color w:val="auto"/>
          <w:sz w:val="22"/>
        </w:rPr>
        <w:t>,000,000</w:t>
      </w:r>
      <w:r>
        <w:rPr>
          <w:b w:val="0"/>
          <w:i/>
          <w:color w:val="auto"/>
          <w:sz w:val="22"/>
        </w:rPr>
        <w:t xml:space="preserve"> </w:t>
      </w:r>
    </w:p>
    <w:p w14:paraId="0F68B26D" w14:textId="5C06A6F6" w:rsidR="009F1912" w:rsidRDefault="009F1912" w:rsidP="009F1912">
      <w:pPr>
        <w:pStyle w:val="Nadpis2"/>
      </w:pPr>
      <w:r>
        <w:t>Fund</w:t>
      </w:r>
    </w:p>
    <w:p w14:paraId="4E743AF5" w14:textId="42ECAD1B" w:rsidR="00412DF0" w:rsidRDefault="00412DF0" w:rsidP="000262B2">
      <w:r>
        <w:t xml:space="preserve">European Social Fund </w:t>
      </w:r>
    </w:p>
    <w:p w14:paraId="3E91C907" w14:textId="057C8497" w:rsidR="009F1912" w:rsidRDefault="002C284B" w:rsidP="009F1912">
      <w:pPr>
        <w:pStyle w:val="Nadpis2"/>
      </w:pPr>
      <w:r>
        <w:t>Method of F</w:t>
      </w:r>
      <w:r w:rsidR="00DF2175">
        <w:t>inancing:</w:t>
      </w:r>
    </w:p>
    <w:p w14:paraId="4BA305AF" w14:textId="062EEE8A" w:rsidR="00D43A37" w:rsidRPr="00ED3070" w:rsidRDefault="00D43A37" w:rsidP="00D43A37">
      <w:r>
        <w:rPr>
          <w:color w:val="auto"/>
        </w:rPr>
        <w:t xml:space="preserve">Ex-ante </w:t>
      </w:r>
    </w:p>
    <w:p w14:paraId="79D9EBAE" w14:textId="212B49CB" w:rsidR="009F1912" w:rsidRDefault="00DF2175" w:rsidP="009F1912">
      <w:pPr>
        <w:pStyle w:val="Nadpis2"/>
      </w:pPr>
      <w:r>
        <w:t>Amount of 1</w:t>
      </w:r>
      <w:r>
        <w:rPr>
          <w:vertAlign w:val="superscript"/>
        </w:rPr>
        <w:t>st</w:t>
      </w:r>
      <w:r w:rsidR="002C284B">
        <w:t xml:space="preserve"> A</w:t>
      </w:r>
      <w:r>
        <w:t xml:space="preserve">dvance </w:t>
      </w:r>
      <w:r w:rsidR="002C284B">
        <w:t>P</w:t>
      </w:r>
      <w:r>
        <w:t>ayment:</w:t>
      </w:r>
    </w:p>
    <w:p w14:paraId="02889798" w14:textId="5181D13D" w:rsidR="00412DF0" w:rsidRDefault="00C91810" w:rsidP="000262B2">
      <w:r>
        <w:rPr>
          <w:color w:val="auto"/>
        </w:rPr>
        <w:t>T</w:t>
      </w:r>
      <w:r w:rsidR="001562C4">
        <w:rPr>
          <w:color w:val="auto"/>
        </w:rPr>
        <w:t>he amount of the 1st advance payment is set to be 50% of the total eligible project expenditure at maximum.</w:t>
      </w:r>
    </w:p>
    <w:p w14:paraId="38335FC2" w14:textId="5F40760A" w:rsidR="009F1912" w:rsidRDefault="009F1912" w:rsidP="009F1912">
      <w:pPr>
        <w:pStyle w:val="Nadpis2"/>
      </w:pPr>
      <w:r>
        <w:t xml:space="preserve">Aid </w:t>
      </w:r>
      <w:r w:rsidR="002C284B">
        <w:t>I</w:t>
      </w:r>
      <w:r>
        <w:t xml:space="preserve">ntensity and </w:t>
      </w:r>
      <w:r w:rsidR="002C284B">
        <w:t>C</w:t>
      </w:r>
      <w:r>
        <w:t xml:space="preserve">o-financing </w:t>
      </w:r>
      <w:r w:rsidR="002C284B">
        <w:t>C</w:t>
      </w:r>
      <w:r>
        <w:t>onditions</w:t>
      </w:r>
    </w:p>
    <w:p w14:paraId="704822A4" w14:textId="2C2E96E9" w:rsidR="005B03E7" w:rsidRPr="00955816" w:rsidRDefault="005B03E7" w:rsidP="007C7E48">
      <w:pPr>
        <w:pStyle w:val="Nadpis2"/>
        <w:keepNext w:val="0"/>
        <w:keepLines w:val="0"/>
        <w:widowControl w:val="0"/>
        <w:numPr>
          <w:ilvl w:val="0"/>
          <w:numId w:val="0"/>
        </w:numPr>
        <w:spacing w:before="200"/>
        <w:rPr>
          <w:rFonts w:cs="Arial"/>
          <w:color w:val="auto"/>
          <w:sz w:val="22"/>
          <w:szCs w:val="22"/>
        </w:rPr>
      </w:pPr>
      <w:r>
        <w:rPr>
          <w:rFonts w:eastAsiaTheme="minorHAnsi" w:cstheme="minorBidi"/>
          <w:b w:val="0"/>
          <w:color w:val="000000" w:themeColor="text1"/>
          <w:sz w:val="22"/>
        </w:rPr>
        <w:t xml:space="preserve">The aid intensity and co-financing conditions are described in Chapter </w:t>
      </w:r>
      <w:r>
        <w:rPr>
          <w:rFonts w:eastAsiaTheme="minorHAnsi" w:cstheme="minorBidi"/>
          <w:b w:val="0"/>
          <w:color w:val="000000" w:themeColor="text1"/>
          <w:sz w:val="22"/>
        </w:rPr>
        <w:lastRenderedPageBreak/>
        <w:t xml:space="preserve">8.1.5 of the Rules for Applicants and Beneficiaries – General </w:t>
      </w:r>
      <w:r w:rsidR="002C284B">
        <w:rPr>
          <w:rFonts w:eastAsiaTheme="minorHAnsi" w:cstheme="minorBidi"/>
          <w:b w:val="0"/>
          <w:color w:val="000000" w:themeColor="text1"/>
          <w:sz w:val="22"/>
        </w:rPr>
        <w:t xml:space="preserve">Section </w:t>
      </w:r>
      <w:r>
        <w:rPr>
          <w:rFonts w:eastAsiaTheme="minorHAnsi" w:cstheme="minorBidi"/>
          <w:b w:val="0"/>
          <w:color w:val="000000" w:themeColor="text1"/>
          <w:sz w:val="22"/>
        </w:rPr>
        <w:t xml:space="preserve">and in Chapter 8.1.5 of the Rules for Applicants and Beneficiaries – Specific </w:t>
      </w:r>
      <w:r w:rsidR="002C284B">
        <w:rPr>
          <w:rFonts w:eastAsiaTheme="minorHAnsi" w:cstheme="minorBidi"/>
          <w:b w:val="0"/>
          <w:color w:val="000000" w:themeColor="text1"/>
          <w:sz w:val="22"/>
        </w:rPr>
        <w:t>Section</w:t>
      </w:r>
      <w:r>
        <w:rPr>
          <w:rFonts w:eastAsiaTheme="minorHAnsi" w:cstheme="minorBidi"/>
          <w:b w:val="0"/>
          <w:color w:val="000000" w:themeColor="text1"/>
          <w:sz w:val="22"/>
        </w:rPr>
        <w:t>.</w:t>
      </w:r>
    </w:p>
    <w:p w14:paraId="1E506512" w14:textId="7740B518" w:rsidR="009F1912" w:rsidRDefault="0050327B" w:rsidP="009F1912">
      <w:pPr>
        <w:pStyle w:val="Nadpis2"/>
      </w:pPr>
      <w:r>
        <w:t xml:space="preserve"> </w:t>
      </w:r>
      <w:r w:rsidR="002C284B">
        <w:t xml:space="preserve">Information on the </w:t>
      </w:r>
      <w:r w:rsidR="009F1912">
        <w:t xml:space="preserve">Conditions </w:t>
      </w:r>
      <w:r w:rsidR="002C284B">
        <w:t xml:space="preserve">of </w:t>
      </w:r>
      <w:r w:rsidR="009F1912">
        <w:t xml:space="preserve">State </w:t>
      </w:r>
      <w:r w:rsidR="002C284B">
        <w:t>A</w:t>
      </w:r>
      <w:r w:rsidR="009F1912">
        <w:t>id</w:t>
      </w:r>
    </w:p>
    <w:p w14:paraId="79767E4C" w14:textId="1694E357" w:rsidR="00412DF0" w:rsidRDefault="00412DF0" w:rsidP="000262B2">
      <w:r>
        <w:t xml:space="preserve">Support will be provided only to projects that do not constitute State </w:t>
      </w:r>
      <w:r w:rsidR="002C284B">
        <w:t>A</w:t>
      </w:r>
      <w:r>
        <w:t>id within the meaning of Article 107(1) TFEU.</w:t>
      </w:r>
    </w:p>
    <w:p w14:paraId="7CD9542B" w14:textId="6B800E35" w:rsidR="009F1912" w:rsidRPr="00381EB4" w:rsidRDefault="00BC4E33" w:rsidP="009F1912">
      <w:pPr>
        <w:pStyle w:val="Nadpis1"/>
      </w:pPr>
      <w:bookmarkStart w:id="4" w:name="_Toc460571261"/>
      <w:r>
        <w:t>Eligible A</w:t>
      </w:r>
      <w:r w:rsidR="009F1912">
        <w:t xml:space="preserve">pplicants and </w:t>
      </w:r>
      <w:r>
        <w:t>P</w:t>
      </w:r>
      <w:r w:rsidR="009F1912">
        <w:t xml:space="preserve">artnership </w:t>
      </w:r>
      <w:r>
        <w:t>C</w:t>
      </w:r>
      <w:r w:rsidR="009F1912">
        <w:t>onditions</w:t>
      </w:r>
      <w:bookmarkEnd w:id="4"/>
    </w:p>
    <w:p w14:paraId="387EF3F3" w14:textId="7FDE7849" w:rsidR="009F1912" w:rsidRPr="004D199E" w:rsidRDefault="009F1912" w:rsidP="009F1912">
      <w:pPr>
        <w:pStyle w:val="Nadpis2"/>
      </w:pPr>
      <w:r>
        <w:t xml:space="preserve">Eligible </w:t>
      </w:r>
      <w:r w:rsidR="00BC4E33">
        <w:t>A</w:t>
      </w:r>
      <w:r>
        <w:t>pplicants</w:t>
      </w:r>
    </w:p>
    <w:p w14:paraId="28870C9A" w14:textId="020F4FCE" w:rsidR="00412DF0" w:rsidRDefault="00412DF0" w:rsidP="000262B2">
      <w:r>
        <w:t xml:space="preserve">The eligible applicant must meet all the conditions set out in Chapter 5.2.1 of the Rules for Applicants and Beneficiaries – Specific </w:t>
      </w:r>
      <w:r w:rsidR="00BC4E33">
        <w:t>Section</w:t>
      </w:r>
      <w:r>
        <w:t>.</w:t>
      </w:r>
    </w:p>
    <w:p w14:paraId="5FFB3314" w14:textId="77777777" w:rsidR="00412DF0" w:rsidRPr="00A77153" w:rsidRDefault="00412DF0" w:rsidP="00412DF0">
      <w:pPr>
        <w:rPr>
          <w:b/>
        </w:rPr>
      </w:pPr>
      <w:r>
        <w:rPr>
          <w:b/>
        </w:rPr>
        <w:t>Eligible applicants:</w:t>
      </w:r>
    </w:p>
    <w:p w14:paraId="0EEBDF51" w14:textId="009DE59D" w:rsidR="00EF3E6C" w:rsidRPr="007C7E48" w:rsidRDefault="00EF3E6C" w:rsidP="005A0018">
      <w:pPr>
        <w:pStyle w:val="odrky"/>
      </w:pPr>
      <w:r>
        <w:t xml:space="preserve">Entities </w:t>
      </w:r>
      <w:r w:rsidR="00BC4E33">
        <w:t>complying with</w:t>
      </w:r>
      <w:r>
        <w:t xml:space="preserve"> the definition of an organisation for research and dissemination of knowledge according to the Framework for State Aid for R&amp;D&amp;I </w:t>
      </w:r>
      <w:r>
        <w:rPr>
          <w:rStyle w:val="Znakapoznpodarou"/>
        </w:rPr>
        <w:footnoteReference w:id="3"/>
      </w:r>
      <w:r>
        <w:t>(</w:t>
      </w:r>
      <w:r w:rsidR="00BC4E33">
        <w:t>university</w:t>
      </w:r>
      <w:r>
        <w:t xml:space="preserve"> institutions, public research organisations, corporations (including business ones), contributory organisations of the state organisational units and of territorial self-governing units etc.). </w:t>
      </w:r>
    </w:p>
    <w:p w14:paraId="6BE97A7B" w14:textId="77777777" w:rsidR="005C5E35" w:rsidRPr="000262B2" w:rsidRDefault="005C5E35" w:rsidP="005C5E35">
      <w:pPr>
        <w:pStyle w:val="odrky"/>
        <w:numPr>
          <w:ilvl w:val="0"/>
          <w:numId w:val="0"/>
        </w:numPr>
        <w:ind w:left="714"/>
        <w:rPr>
          <w:highlight w:val="lightGray"/>
        </w:rPr>
      </w:pPr>
    </w:p>
    <w:p w14:paraId="47F0146D" w14:textId="49BF87B4" w:rsidR="00412DF0" w:rsidRDefault="000D3052" w:rsidP="000262B2">
      <w:r>
        <w:rPr>
          <w:b/>
        </w:rPr>
        <w:t>Call limitation:</w:t>
      </w:r>
      <w:r>
        <w:t xml:space="preserve"> </w:t>
      </w:r>
    </w:p>
    <w:p w14:paraId="2FB2FE97" w14:textId="726F77D6" w:rsidR="005C5E35" w:rsidRPr="005C5E35" w:rsidRDefault="005C5E35" w:rsidP="005C5E35">
      <w:pPr>
        <w:contextualSpacing/>
        <w:rPr>
          <w:rFonts w:eastAsia="Times New Roman" w:cs="Arial"/>
        </w:rPr>
      </w:pPr>
      <w:r>
        <w:t>The applicant must have its registered office in the Czech Republic.</w:t>
      </w:r>
    </w:p>
    <w:p w14:paraId="00DDA8F2" w14:textId="1C6280B6" w:rsidR="005C5E35" w:rsidRPr="003F4572" w:rsidRDefault="005C5E35" w:rsidP="005C5E35">
      <w:pPr>
        <w:rPr>
          <w:rFonts w:eastAsia="Times New Roman" w:cs="Arial"/>
        </w:rPr>
      </w:pPr>
      <w:r>
        <w:br/>
        <w:t xml:space="preserve">Each applicant may present </w:t>
      </w:r>
      <w:r>
        <w:rPr>
          <w:b/>
        </w:rPr>
        <w:t xml:space="preserve">one </w:t>
      </w:r>
      <w:r w:rsidR="00BC4E33">
        <w:rPr>
          <w:b/>
        </w:rPr>
        <w:t>grant</w:t>
      </w:r>
      <w:r>
        <w:rPr>
          <w:b/>
        </w:rPr>
        <w:t xml:space="preserve"> application at maximum.</w:t>
      </w:r>
      <w:r>
        <w:t xml:space="preserve"> Only the first submitted </w:t>
      </w:r>
      <w:r w:rsidR="00BC4E33">
        <w:t>grant</w:t>
      </w:r>
      <w:r>
        <w:t xml:space="preserve"> application in IS KP14+ will be accepted, any other </w:t>
      </w:r>
      <w:r>
        <w:lastRenderedPageBreak/>
        <w:t xml:space="preserve">applications will be excluded from the assessment process. At the same time, the </w:t>
      </w:r>
      <w:r w:rsidR="00CE6BBB">
        <w:t>A</w:t>
      </w:r>
      <w:r>
        <w:t xml:space="preserve">pplicant may submit another </w:t>
      </w:r>
      <w:r w:rsidR="00BC4E33">
        <w:t>grant</w:t>
      </w:r>
      <w:r>
        <w:t xml:space="preserve"> application if the already submitted </w:t>
      </w:r>
      <w:r w:rsidR="00CE6BBB">
        <w:t xml:space="preserve">grant </w:t>
      </w:r>
      <w:r>
        <w:t xml:space="preserve">application was excluded from the assessment process or was withdrawn by the </w:t>
      </w:r>
      <w:r w:rsidR="00CE6BBB">
        <w:t>A</w:t>
      </w:r>
      <w:r>
        <w:t xml:space="preserve">pplicant during the approval process for any reason.  </w:t>
      </w:r>
    </w:p>
    <w:p w14:paraId="52A70755" w14:textId="27C65D7F" w:rsidR="005C5E35" w:rsidRPr="002E1ED2" w:rsidRDefault="005C5E35" w:rsidP="005C5E35">
      <w:pPr>
        <w:pStyle w:val="MPtextodr"/>
        <w:widowControl w:val="0"/>
        <w:numPr>
          <w:ilvl w:val="0"/>
          <w:numId w:val="0"/>
        </w:numPr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b/>
          <w:sz w:val="22"/>
        </w:rPr>
        <w:t>State organisational units</w:t>
      </w:r>
      <w:r>
        <w:rPr>
          <w:sz w:val="22"/>
        </w:rPr>
        <w:t xml:space="preserve"> </w:t>
      </w:r>
      <w:r w:rsidR="00C91810" w:rsidRPr="00C91810">
        <w:rPr>
          <w:b/>
          <w:sz w:val="22"/>
        </w:rPr>
        <w:t>and contributory organisation of the state organisational unit</w:t>
      </w:r>
      <w:r w:rsidR="00272031">
        <w:rPr>
          <w:b/>
          <w:sz w:val="22"/>
        </w:rPr>
        <w:t xml:space="preserve"> </w:t>
      </w:r>
      <w:r w:rsidR="00272031" w:rsidRPr="000C0167">
        <w:rPr>
          <w:b/>
          <w:sz w:val="22"/>
          <w:szCs w:val="22"/>
        </w:rPr>
        <w:t>where other</w:t>
      </w:r>
      <w:r w:rsidR="00272031">
        <w:rPr>
          <w:sz w:val="22"/>
          <w:szCs w:val="22"/>
        </w:rPr>
        <w:t xml:space="preserve"> </w:t>
      </w:r>
      <w:r w:rsidR="00272031" w:rsidRPr="00C91810">
        <w:rPr>
          <w:b/>
          <w:sz w:val="22"/>
        </w:rPr>
        <w:t>state organisational unit</w:t>
      </w:r>
      <w:r w:rsidR="00272031">
        <w:rPr>
          <w:sz w:val="22"/>
          <w:szCs w:val="22"/>
        </w:rPr>
        <w:t xml:space="preserve"> </w:t>
      </w:r>
      <w:r w:rsidR="00272031" w:rsidRPr="00DA2D9F">
        <w:rPr>
          <w:b/>
          <w:sz w:val="22"/>
          <w:szCs w:val="22"/>
        </w:rPr>
        <w:t xml:space="preserve">than </w:t>
      </w:r>
      <w:r w:rsidR="00272031" w:rsidRPr="000C0167">
        <w:rPr>
          <w:b/>
          <w:sz w:val="22"/>
          <w:szCs w:val="22"/>
        </w:rPr>
        <w:t>M</w:t>
      </w:r>
      <w:r w:rsidR="000C0167" w:rsidRPr="000C0167">
        <w:rPr>
          <w:b/>
          <w:sz w:val="22"/>
          <w:szCs w:val="22"/>
        </w:rPr>
        <w:t>inistry of education, youth and sport</w:t>
      </w:r>
      <w:r w:rsidR="00272031" w:rsidRPr="00DA2D9F">
        <w:rPr>
          <w:b/>
          <w:sz w:val="22"/>
          <w:szCs w:val="22"/>
        </w:rPr>
        <w:t xml:space="preserve"> is a founder</w:t>
      </w:r>
      <w:r w:rsidR="00C91810">
        <w:rPr>
          <w:sz w:val="22"/>
        </w:rPr>
        <w:t xml:space="preserve"> </w:t>
      </w:r>
      <w:r w:rsidR="00791737">
        <w:rPr>
          <w:sz w:val="22"/>
        </w:rPr>
        <w:t xml:space="preserve">complying with </w:t>
      </w:r>
      <w:r>
        <w:rPr>
          <w:sz w:val="22"/>
        </w:rPr>
        <w:t xml:space="preserve">the definition of an </w:t>
      </w:r>
      <w:r w:rsidR="00EE7A98">
        <w:rPr>
          <w:sz w:val="22"/>
        </w:rPr>
        <w:t>organisation</w:t>
      </w:r>
      <w:r w:rsidR="00774F0B">
        <w:rPr>
          <w:sz w:val="22"/>
        </w:rPr>
        <w:t xml:space="preserve"> for</w:t>
      </w:r>
      <w:r w:rsidR="00EE7A98">
        <w:rPr>
          <w:sz w:val="22"/>
        </w:rPr>
        <w:t xml:space="preserve"> research</w:t>
      </w:r>
      <w:r w:rsidR="008E6E4B">
        <w:rPr>
          <w:sz w:val="22"/>
        </w:rPr>
        <w:t xml:space="preserve"> and development </w:t>
      </w:r>
      <w:r>
        <w:rPr>
          <w:sz w:val="22"/>
        </w:rPr>
        <w:t xml:space="preserve">and dissemination of information according to the definition of Framework for State Aid for R&amp;D&amp;I </w:t>
      </w:r>
      <w:r>
        <w:rPr>
          <w:b/>
          <w:sz w:val="22"/>
        </w:rPr>
        <w:t>are not eligible applicants</w:t>
      </w:r>
      <w:r>
        <w:rPr>
          <w:sz w:val="22"/>
        </w:rPr>
        <w:t>.</w:t>
      </w:r>
    </w:p>
    <w:p w14:paraId="2B672995" w14:textId="77777777" w:rsidR="005C5E35" w:rsidRDefault="005C5E35" w:rsidP="000262B2"/>
    <w:p w14:paraId="2C415AFE" w14:textId="7C18BD65" w:rsidR="009F1912" w:rsidRDefault="00412DF0" w:rsidP="009F1912">
      <w:pPr>
        <w:pStyle w:val="Nadpis2"/>
      </w:pPr>
      <w:r>
        <w:t>Partnership</w:t>
      </w:r>
    </w:p>
    <w:p w14:paraId="7BDE8145" w14:textId="7DA1E950" w:rsidR="00A00AA3" w:rsidRDefault="00A00AA3" w:rsidP="00482D5F">
      <w:pPr>
        <w:pStyle w:val="MPtextodr"/>
        <w:widowControl w:val="0"/>
        <w:numPr>
          <w:ilvl w:val="0"/>
          <w:numId w:val="0"/>
        </w:numPr>
        <w:adjustRightInd w:val="0"/>
        <w:spacing w:line="276" w:lineRule="auto"/>
        <w:textAlignment w:val="baseline"/>
      </w:pPr>
      <w:r>
        <w:rPr>
          <w:sz w:val="22"/>
        </w:rPr>
        <w:t>Partnership is not made possible in this Call.</w:t>
      </w:r>
    </w:p>
    <w:p w14:paraId="624C9B36" w14:textId="3D4CD1D4" w:rsidR="009F1912" w:rsidRPr="00381EB4" w:rsidRDefault="00335D83" w:rsidP="009F1912">
      <w:pPr>
        <w:pStyle w:val="Nadpis1"/>
      </w:pPr>
      <w:bookmarkStart w:id="5" w:name="_Toc460571262"/>
      <w:r>
        <w:t>Substantive F</w:t>
      </w:r>
      <w:r w:rsidR="009F1912">
        <w:t>ocus</w:t>
      </w:r>
      <w:bookmarkEnd w:id="5"/>
    </w:p>
    <w:p w14:paraId="6839741A" w14:textId="76BEE5A9" w:rsidR="00AC1275" w:rsidRDefault="00335D83" w:rsidP="00AC1275">
      <w:pPr>
        <w:rPr>
          <w:rFonts w:cs="Times New Roman"/>
        </w:rPr>
      </w:pPr>
      <w:r>
        <w:t>The C</w:t>
      </w:r>
      <w:r w:rsidR="00AC1275">
        <w:t>all supports quality projects that were submitted into Horizon 2020, Marie Skłodowska-Curie Actions – Individual Fellowships – European Fellowships (H2020–MSCA-IF–201</w:t>
      </w:r>
      <w:r w:rsidR="00BF5913">
        <w:t>7</w:t>
      </w:r>
      <w:r w:rsidR="00AC1275">
        <w:t>) in 201</w:t>
      </w:r>
      <w:r w:rsidR="00BF5913">
        <w:t>7</w:t>
      </w:r>
      <w:r w:rsidR="00AC1275">
        <w:t xml:space="preserve">, were viewed positively by the European Commission, but could not be supported due to the lack of funds and were thus entered in the list of the so-called “no money project”. The call only supports European Fellowship projects. </w:t>
      </w:r>
    </w:p>
    <w:p w14:paraId="12D49754" w14:textId="7203E68C" w:rsidR="00FD00FA" w:rsidRPr="00AC1275" w:rsidRDefault="001C1BD1" w:rsidP="00AC1275">
      <w:r>
        <w:t xml:space="preserve">The application containing such project must not have a different content from the application approved in Horizon 2020 – MSCA-IF, including the same host organisation. </w:t>
      </w:r>
    </w:p>
    <w:p w14:paraId="2FEB57C3" w14:textId="6FB26651" w:rsidR="009F1912" w:rsidRPr="004D199E" w:rsidRDefault="00335D83" w:rsidP="009F1912">
      <w:pPr>
        <w:pStyle w:val="Nadpis2"/>
      </w:pPr>
      <w:r>
        <w:lastRenderedPageBreak/>
        <w:t>Specific O</w:t>
      </w:r>
      <w:r w:rsidR="009F1912">
        <w:t>bjective</w:t>
      </w:r>
    </w:p>
    <w:p w14:paraId="729291F4" w14:textId="6CD87593" w:rsidR="009F1912" w:rsidRDefault="00335D83" w:rsidP="009F1912">
      <w:pPr>
        <w:pStyle w:val="Nadpis3"/>
      </w:pPr>
      <w:r>
        <w:t>Supported</w:t>
      </w:r>
      <w:r w:rsidR="00F9632C">
        <w:t xml:space="preserve"> </w:t>
      </w:r>
      <w:r w:rsidR="00F735F9">
        <w:t>A</w:t>
      </w:r>
      <w:r w:rsidR="00F9632C">
        <w:t>ctivities</w:t>
      </w:r>
    </w:p>
    <w:p w14:paraId="13FDC355" w14:textId="38FFA7DA" w:rsidR="00F856C7" w:rsidRPr="00F856C7" w:rsidRDefault="00F856C7" w:rsidP="000262B2">
      <w:r>
        <w:t xml:space="preserve">For details on the activities listed below, please refer to Chapter 5.2.4 of the Rules for Applicants and Beneficiaries – Specific </w:t>
      </w:r>
      <w:r w:rsidR="00335D83">
        <w:t>Section</w:t>
      </w:r>
      <w:r>
        <w:t>.</w:t>
      </w:r>
    </w:p>
    <w:p w14:paraId="2DA30B58" w14:textId="3528DF95" w:rsidR="00EF6823" w:rsidRPr="006D39E1" w:rsidRDefault="00EF6823" w:rsidP="00EF6823">
      <w:pPr>
        <w:rPr>
          <w:rFonts w:eastAsiaTheme="majorEastAsia" w:cs="Arial"/>
          <w:bCs/>
        </w:rPr>
      </w:pPr>
      <w:r>
        <w:rPr>
          <w:rFonts w:eastAsiaTheme="majorEastAsia"/>
          <w:b/>
        </w:rPr>
        <w:t xml:space="preserve">Activity 1: </w:t>
      </w:r>
      <w:r>
        <w:t>Support of the “no money” MSCA projects - arrivals to the Czech Republic</w:t>
      </w:r>
    </w:p>
    <w:p w14:paraId="62F6F34D" w14:textId="1897DD1B" w:rsidR="00EF6823" w:rsidRPr="006D39E1" w:rsidRDefault="00EF6823" w:rsidP="00EF6823">
      <w:pPr>
        <w:rPr>
          <w:rFonts w:eastAsiaTheme="majorEastAsia" w:cs="Arial"/>
          <w:bCs/>
        </w:rPr>
      </w:pPr>
      <w:r>
        <w:rPr>
          <w:rFonts w:eastAsiaTheme="majorEastAsia"/>
          <w:b/>
        </w:rPr>
        <w:t xml:space="preserve">Activity 2: </w:t>
      </w:r>
      <w:r>
        <w:t>Support of the “no money” MSCA projects - departures from the Czech Republic</w:t>
      </w:r>
    </w:p>
    <w:p w14:paraId="36E0C3FD" w14:textId="77777777" w:rsidR="00EF6823" w:rsidRPr="006D39E1" w:rsidRDefault="00EF6823" w:rsidP="00EF6823">
      <w:pPr>
        <w:rPr>
          <w:rFonts w:eastAsiaTheme="majorEastAsia" w:cs="Arial"/>
          <w:bCs/>
        </w:rPr>
      </w:pPr>
      <w:r>
        <w:rPr>
          <w:rFonts w:eastAsiaTheme="majorEastAsia"/>
          <w:b/>
        </w:rPr>
        <w:t xml:space="preserve">Support tool: </w:t>
      </w:r>
      <w:r>
        <w:t>Support for the researcher's family</w:t>
      </w:r>
    </w:p>
    <w:p w14:paraId="67CB93C7" w14:textId="77777777" w:rsidR="00EF6823" w:rsidRDefault="00EF6823" w:rsidP="00EF6823">
      <w:pPr>
        <w:pStyle w:val="MPtextodr"/>
        <w:widowControl w:val="0"/>
        <w:numPr>
          <w:ilvl w:val="0"/>
          <w:numId w:val="0"/>
        </w:numPr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</w:rPr>
        <w:t>Support tool cannot be a separate activity of a project; it is always linked to Activity No. 1 or Activity No. 2.</w:t>
      </w:r>
    </w:p>
    <w:p w14:paraId="6852B3EA" w14:textId="05C9E5C0" w:rsidR="00334228" w:rsidRDefault="003900E6" w:rsidP="00EF6823">
      <w:r>
        <w:t xml:space="preserve">The activities particularly include scientific-research stays of employees of the </w:t>
      </w:r>
      <w:r w:rsidR="00335D83">
        <w:t>Beneficiary –</w:t>
      </w:r>
      <w:r>
        <w:t xml:space="preserve"> the so-called mobility, </w:t>
      </w:r>
      <w:r w:rsidR="00334228" w:rsidRPr="00334228">
        <w:t>in the case of activity No. 2 also the return phase</w:t>
      </w:r>
      <w:r>
        <w:t>. The duration of mobility (i.e. net</w:t>
      </w:r>
      <w:r w:rsidR="00544FB4">
        <w:t xml:space="preserve"> </w:t>
      </w:r>
      <w:r>
        <w:t>work</w:t>
      </w:r>
      <w:r w:rsidR="00544FB4">
        <w:t xml:space="preserve">ing </w:t>
      </w:r>
      <w:r>
        <w:t>stay of a researcher) must be at least 12 to 24 month</w:t>
      </w:r>
      <w:r w:rsidR="00335D83">
        <w:t xml:space="preserve">s at maximum. </w:t>
      </w:r>
    </w:p>
    <w:p w14:paraId="076DC8A4" w14:textId="57EA0AD3" w:rsidR="0019700F" w:rsidRPr="0019700F" w:rsidRDefault="00EF6823" w:rsidP="0019700F">
      <w:pPr>
        <w:pStyle w:val="MPtextodr"/>
        <w:widowControl w:val="0"/>
        <w:numPr>
          <w:ilvl w:val="0"/>
          <w:numId w:val="0"/>
        </w:numPr>
        <w:adjustRightInd w:val="0"/>
        <w:spacing w:line="276" w:lineRule="auto"/>
        <w:textAlignment w:val="baseline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</w:rPr>
        <w:t>For Activity No. 2 Support of “no money” MSCA projects - departures from the Czech Republic a</w:t>
      </w:r>
      <w:r w:rsidR="00335D83">
        <w:rPr>
          <w:rFonts w:eastAsiaTheme="minorHAnsi" w:cstheme="minorBidi"/>
          <w:sz w:val="22"/>
        </w:rPr>
        <w:t> </w:t>
      </w:r>
      <w:r>
        <w:rPr>
          <w:rFonts w:eastAsiaTheme="minorHAnsi" w:cstheme="minorBidi"/>
          <w:sz w:val="22"/>
        </w:rPr>
        <w:t>mandatory return phase is specified. The return phase must take at least 6 months and relates to individual mobilit</w:t>
      </w:r>
      <w:r w:rsidR="00143B06">
        <w:rPr>
          <w:rFonts w:eastAsiaTheme="minorHAnsi" w:cstheme="minorBidi"/>
          <w:sz w:val="22"/>
        </w:rPr>
        <w:t>y</w:t>
      </w:r>
      <w:r>
        <w:rPr>
          <w:rFonts w:eastAsiaTheme="minorHAnsi" w:cstheme="minorBidi"/>
          <w:sz w:val="22"/>
        </w:rPr>
        <w:t xml:space="preserve">. </w:t>
      </w:r>
    </w:p>
    <w:p w14:paraId="1862A822" w14:textId="41A4B3B5" w:rsidR="00EF6823" w:rsidRDefault="00EF6823" w:rsidP="00EF6823">
      <w:r>
        <w:t xml:space="preserve">The supported activities are specified in more detail in Chapter 5.2.4 of the Rules for Applicants and Beneficiaries – Specific </w:t>
      </w:r>
      <w:r w:rsidR="00335D83">
        <w:t>Section</w:t>
      </w:r>
      <w:r>
        <w:t>.</w:t>
      </w:r>
      <w:r>
        <w:rPr>
          <w:color w:val="auto"/>
        </w:rPr>
        <w:t xml:space="preserve"> </w:t>
      </w:r>
    </w:p>
    <w:p w14:paraId="1BD8EA75" w14:textId="126DC74E" w:rsidR="00EF6823" w:rsidRPr="006D6FAB" w:rsidRDefault="00EF6823" w:rsidP="00EF6823">
      <w:pPr>
        <w:pStyle w:val="MPtextodr"/>
        <w:widowControl w:val="0"/>
        <w:numPr>
          <w:ilvl w:val="0"/>
          <w:numId w:val="0"/>
        </w:numPr>
        <w:adjustRightInd w:val="0"/>
        <w:spacing w:line="276" w:lineRule="auto"/>
        <w:textAlignment w:val="baseline"/>
        <w:rPr>
          <w:rFonts w:eastAsiaTheme="majorEastAsia"/>
          <w:b/>
          <w:bCs/>
          <w:color w:val="auto"/>
          <w:sz w:val="22"/>
          <w:szCs w:val="22"/>
        </w:rPr>
      </w:pPr>
      <w:r>
        <w:rPr>
          <w:rFonts w:eastAsiaTheme="majorEastAsia"/>
          <w:b/>
          <w:color w:val="auto"/>
          <w:sz w:val="22"/>
        </w:rPr>
        <w:t xml:space="preserve">The difference between </w:t>
      </w:r>
      <w:r w:rsidR="00335D83">
        <w:rPr>
          <w:rFonts w:eastAsiaTheme="majorEastAsia"/>
          <w:b/>
          <w:color w:val="auto"/>
          <w:sz w:val="22"/>
        </w:rPr>
        <w:t xml:space="preserve">the </w:t>
      </w:r>
      <w:r>
        <w:rPr>
          <w:rFonts w:eastAsiaTheme="majorEastAsia"/>
          <w:b/>
          <w:color w:val="auto"/>
          <w:sz w:val="22"/>
        </w:rPr>
        <w:t xml:space="preserve">aid conditions under the </w:t>
      </w:r>
      <w:r w:rsidR="00335D83">
        <w:rPr>
          <w:rFonts w:eastAsiaTheme="majorEastAsia"/>
          <w:b/>
          <w:color w:val="auto"/>
          <w:sz w:val="22"/>
        </w:rPr>
        <w:t>C</w:t>
      </w:r>
      <w:r>
        <w:rPr>
          <w:rFonts w:eastAsiaTheme="majorEastAsia"/>
          <w:b/>
          <w:color w:val="auto"/>
          <w:sz w:val="22"/>
        </w:rPr>
        <w:t xml:space="preserve">all </w:t>
      </w:r>
      <w:r w:rsidR="00335D83">
        <w:rPr>
          <w:rFonts w:eastAsiaTheme="majorEastAsia"/>
          <w:b/>
          <w:color w:val="auto"/>
          <w:sz w:val="22"/>
        </w:rPr>
        <w:t>“</w:t>
      </w:r>
      <w:r>
        <w:rPr>
          <w:rFonts w:eastAsiaTheme="majorEastAsia"/>
          <w:b/>
          <w:color w:val="auto"/>
          <w:sz w:val="22"/>
        </w:rPr>
        <w:t xml:space="preserve">International </w:t>
      </w:r>
      <w:r w:rsidR="00335D83">
        <w:rPr>
          <w:rFonts w:eastAsiaTheme="majorEastAsia"/>
          <w:b/>
          <w:color w:val="auto"/>
          <w:sz w:val="22"/>
        </w:rPr>
        <w:t>M</w:t>
      </w:r>
      <w:r>
        <w:rPr>
          <w:rFonts w:eastAsiaTheme="majorEastAsia"/>
          <w:b/>
          <w:color w:val="auto"/>
          <w:sz w:val="22"/>
        </w:rPr>
        <w:t xml:space="preserve">obility of </w:t>
      </w:r>
      <w:r w:rsidR="00335D83">
        <w:rPr>
          <w:rFonts w:eastAsiaTheme="majorEastAsia"/>
          <w:b/>
          <w:color w:val="auto"/>
          <w:sz w:val="22"/>
        </w:rPr>
        <w:t>R</w:t>
      </w:r>
      <w:r>
        <w:rPr>
          <w:rFonts w:eastAsiaTheme="majorEastAsia"/>
          <w:b/>
          <w:color w:val="auto"/>
          <w:sz w:val="22"/>
        </w:rPr>
        <w:t>esearchers – MSCA-IF</w:t>
      </w:r>
      <w:r w:rsidR="00143B06">
        <w:rPr>
          <w:rFonts w:eastAsiaTheme="majorEastAsia"/>
          <w:b/>
          <w:color w:val="auto"/>
          <w:sz w:val="22"/>
        </w:rPr>
        <w:t xml:space="preserve"> II</w:t>
      </w:r>
      <w:r>
        <w:rPr>
          <w:rFonts w:eastAsiaTheme="majorEastAsia"/>
          <w:b/>
          <w:color w:val="auto"/>
          <w:sz w:val="22"/>
        </w:rPr>
        <w:t xml:space="preserve"> in OP RDE and under Marie Skłodowska-Curie Actions – Individual Fellowships calls in Horizon</w:t>
      </w:r>
      <w:r>
        <w:rPr>
          <w:rFonts w:eastAsiaTheme="majorEastAsia"/>
          <w:b/>
          <w:sz w:val="22"/>
        </w:rPr>
        <w:t xml:space="preserve"> </w:t>
      </w:r>
      <w:r>
        <w:rPr>
          <w:rFonts w:eastAsiaTheme="majorEastAsia"/>
          <w:b/>
          <w:color w:val="auto"/>
          <w:sz w:val="22"/>
        </w:rPr>
        <w:t>2020 are given below.</w:t>
      </w:r>
    </w:p>
    <w:p w14:paraId="6BA756A1" w14:textId="77777777" w:rsidR="00EF6823" w:rsidRPr="006D6FAB" w:rsidRDefault="00EF6823" w:rsidP="00EF6823">
      <w:pPr>
        <w:pStyle w:val="MPtextodr"/>
        <w:widowControl w:val="0"/>
        <w:numPr>
          <w:ilvl w:val="0"/>
          <w:numId w:val="0"/>
        </w:numPr>
        <w:adjustRightInd w:val="0"/>
        <w:spacing w:line="276" w:lineRule="auto"/>
        <w:textAlignment w:val="baseline"/>
        <w:rPr>
          <w:rFonts w:eastAsiaTheme="majorEastAsia"/>
          <w:bCs/>
          <w:color w:val="auto"/>
          <w:sz w:val="22"/>
          <w:szCs w:val="22"/>
          <w:u w:val="single"/>
        </w:rPr>
      </w:pPr>
      <w:r>
        <w:rPr>
          <w:rFonts w:eastAsiaTheme="majorEastAsia"/>
          <w:color w:val="auto"/>
          <w:sz w:val="22"/>
          <w:u w:val="single"/>
        </w:rPr>
        <w:t xml:space="preserve">Generally applicable differences: </w:t>
      </w:r>
    </w:p>
    <w:p w14:paraId="0DB34D50" w14:textId="5B71977A" w:rsidR="00EF6823" w:rsidRPr="006D6FAB" w:rsidRDefault="00EF6823" w:rsidP="00EF6823">
      <w:pPr>
        <w:pStyle w:val="MPtextodr"/>
        <w:widowControl w:val="0"/>
        <w:numPr>
          <w:ilvl w:val="0"/>
          <w:numId w:val="8"/>
        </w:numPr>
        <w:adjustRightInd w:val="0"/>
        <w:spacing w:line="276" w:lineRule="auto"/>
        <w:ind w:left="426"/>
        <w:textAlignment w:val="baseline"/>
        <w:rPr>
          <w:rFonts w:eastAsiaTheme="majorEastAsia"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</w:rPr>
        <w:lastRenderedPageBreak/>
        <w:t xml:space="preserve">In </w:t>
      </w:r>
      <w:r w:rsidR="00335D83">
        <w:rPr>
          <w:rFonts w:eastAsiaTheme="majorEastAsia"/>
          <w:color w:val="auto"/>
          <w:sz w:val="22"/>
        </w:rPr>
        <w:t>the Call “</w:t>
      </w:r>
      <w:r>
        <w:rPr>
          <w:rFonts w:eastAsiaTheme="majorEastAsia"/>
          <w:color w:val="auto"/>
          <w:sz w:val="22"/>
        </w:rPr>
        <w:t xml:space="preserve">International </w:t>
      </w:r>
      <w:r w:rsidR="00335D83">
        <w:rPr>
          <w:rFonts w:eastAsiaTheme="majorEastAsia"/>
          <w:color w:val="auto"/>
          <w:sz w:val="22"/>
        </w:rPr>
        <w:t>M</w:t>
      </w:r>
      <w:r>
        <w:rPr>
          <w:rFonts w:eastAsiaTheme="majorEastAsia"/>
          <w:color w:val="auto"/>
          <w:sz w:val="22"/>
        </w:rPr>
        <w:t xml:space="preserve">obility of </w:t>
      </w:r>
      <w:r w:rsidR="00335D83">
        <w:rPr>
          <w:rFonts w:eastAsiaTheme="majorEastAsia"/>
          <w:color w:val="auto"/>
          <w:sz w:val="22"/>
        </w:rPr>
        <w:t>R</w:t>
      </w:r>
      <w:r>
        <w:rPr>
          <w:rFonts w:eastAsiaTheme="majorEastAsia"/>
          <w:color w:val="auto"/>
          <w:sz w:val="22"/>
        </w:rPr>
        <w:t>esearchers – MSCA-IF</w:t>
      </w:r>
      <w:r w:rsidR="00570CDE">
        <w:rPr>
          <w:rFonts w:eastAsiaTheme="majorEastAsia"/>
          <w:color w:val="auto"/>
          <w:sz w:val="22"/>
        </w:rPr>
        <w:t xml:space="preserve"> II</w:t>
      </w:r>
      <w:r w:rsidR="00335D83">
        <w:rPr>
          <w:rFonts w:eastAsiaTheme="majorEastAsia"/>
          <w:color w:val="auto"/>
          <w:sz w:val="22"/>
        </w:rPr>
        <w:t>”</w:t>
      </w:r>
      <w:r>
        <w:rPr>
          <w:rFonts w:eastAsiaTheme="majorEastAsia"/>
          <w:color w:val="auto"/>
          <w:sz w:val="22"/>
        </w:rPr>
        <w:t xml:space="preserve">, organisations for research and knowledge </w:t>
      </w:r>
      <w:r w:rsidR="00F735F9">
        <w:rPr>
          <w:rFonts w:eastAsiaTheme="majorEastAsia"/>
          <w:color w:val="auto"/>
          <w:sz w:val="22"/>
        </w:rPr>
        <w:t>dissemination according</w:t>
      </w:r>
      <w:r>
        <w:rPr>
          <w:rFonts w:eastAsiaTheme="majorEastAsia"/>
          <w:color w:val="auto"/>
          <w:sz w:val="22"/>
        </w:rPr>
        <w:t xml:space="preserve"> to the definition of the Framework for State Aid in Research and Development and Innovation (2014/C 198/01) with the seat in the Czech</w:t>
      </w:r>
      <w:r w:rsidR="00335D83">
        <w:rPr>
          <w:rFonts w:eastAsiaTheme="majorEastAsia"/>
          <w:color w:val="auto"/>
          <w:sz w:val="22"/>
        </w:rPr>
        <w:t xml:space="preserve"> Republic are always eligible A</w:t>
      </w:r>
      <w:r>
        <w:rPr>
          <w:rFonts w:eastAsiaTheme="majorEastAsia"/>
          <w:color w:val="auto"/>
          <w:sz w:val="22"/>
        </w:rPr>
        <w:t>pplicants/</w:t>
      </w:r>
      <w:r w:rsidR="00335D83">
        <w:rPr>
          <w:rFonts w:eastAsiaTheme="majorEastAsia"/>
          <w:color w:val="auto"/>
          <w:sz w:val="22"/>
        </w:rPr>
        <w:t>B</w:t>
      </w:r>
      <w:r>
        <w:rPr>
          <w:rFonts w:eastAsiaTheme="majorEastAsia"/>
          <w:color w:val="auto"/>
          <w:sz w:val="22"/>
        </w:rPr>
        <w:t xml:space="preserve">eneficiaries. </w:t>
      </w:r>
    </w:p>
    <w:p w14:paraId="32A99C0D" w14:textId="501A24DC" w:rsidR="00EF6823" w:rsidRPr="006D6FAB" w:rsidRDefault="00EF6823" w:rsidP="00EF6823">
      <w:pPr>
        <w:pStyle w:val="MPtextodr"/>
        <w:widowControl w:val="0"/>
        <w:numPr>
          <w:ilvl w:val="0"/>
          <w:numId w:val="8"/>
        </w:numPr>
        <w:adjustRightInd w:val="0"/>
        <w:spacing w:line="276" w:lineRule="auto"/>
        <w:ind w:left="426"/>
        <w:textAlignment w:val="baseline"/>
        <w:rPr>
          <w:rFonts w:eastAsiaTheme="majorEastAsia"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</w:rPr>
        <w:t xml:space="preserve">In the </w:t>
      </w:r>
      <w:r w:rsidR="00335D83">
        <w:rPr>
          <w:rFonts w:eastAsiaTheme="majorEastAsia"/>
          <w:color w:val="auto"/>
          <w:sz w:val="22"/>
        </w:rPr>
        <w:t>Call “</w:t>
      </w:r>
      <w:r>
        <w:rPr>
          <w:rFonts w:eastAsiaTheme="majorEastAsia"/>
          <w:color w:val="auto"/>
          <w:sz w:val="22"/>
        </w:rPr>
        <w:t xml:space="preserve">International </w:t>
      </w:r>
      <w:r w:rsidR="00335D83">
        <w:rPr>
          <w:rFonts w:eastAsiaTheme="majorEastAsia"/>
          <w:color w:val="auto"/>
          <w:sz w:val="22"/>
        </w:rPr>
        <w:t>M</w:t>
      </w:r>
      <w:r>
        <w:rPr>
          <w:rFonts w:eastAsiaTheme="majorEastAsia"/>
          <w:color w:val="auto"/>
          <w:sz w:val="22"/>
        </w:rPr>
        <w:t xml:space="preserve">obility of </w:t>
      </w:r>
      <w:r w:rsidR="00335D83">
        <w:rPr>
          <w:rFonts w:eastAsiaTheme="majorEastAsia"/>
          <w:color w:val="auto"/>
          <w:sz w:val="22"/>
        </w:rPr>
        <w:t>R</w:t>
      </w:r>
      <w:r>
        <w:rPr>
          <w:rFonts w:eastAsiaTheme="majorEastAsia"/>
          <w:color w:val="auto"/>
          <w:sz w:val="22"/>
        </w:rPr>
        <w:t>esearchers – MSCA-IF</w:t>
      </w:r>
      <w:r w:rsidR="00570CDE">
        <w:rPr>
          <w:rFonts w:eastAsiaTheme="majorEastAsia"/>
          <w:color w:val="auto"/>
          <w:sz w:val="22"/>
        </w:rPr>
        <w:t xml:space="preserve"> II</w:t>
      </w:r>
      <w:r w:rsidR="00335D83">
        <w:rPr>
          <w:rFonts w:eastAsiaTheme="majorEastAsia"/>
          <w:color w:val="auto"/>
          <w:sz w:val="22"/>
        </w:rPr>
        <w:t>”</w:t>
      </w:r>
      <w:r>
        <w:rPr>
          <w:rFonts w:eastAsiaTheme="majorEastAsia"/>
          <w:color w:val="auto"/>
          <w:sz w:val="22"/>
        </w:rPr>
        <w:t xml:space="preserve">, the project will be implemented in a form of individual project with simplified cost reporting. </w:t>
      </w:r>
    </w:p>
    <w:p w14:paraId="2FD47C16" w14:textId="1604F8A5" w:rsidR="00EF6823" w:rsidRDefault="00F735F9" w:rsidP="00EF6823">
      <w:pPr>
        <w:pStyle w:val="MPtextodr"/>
        <w:widowControl w:val="0"/>
        <w:numPr>
          <w:ilvl w:val="0"/>
          <w:numId w:val="8"/>
        </w:numPr>
        <w:adjustRightInd w:val="0"/>
        <w:spacing w:line="276" w:lineRule="auto"/>
        <w:ind w:left="426"/>
        <w:textAlignment w:val="baseline"/>
        <w:rPr>
          <w:rFonts w:eastAsiaTheme="majorEastAsia"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</w:rPr>
        <w:t>The A</w:t>
      </w:r>
      <w:r w:rsidR="00EF6823">
        <w:rPr>
          <w:rFonts w:eastAsiaTheme="majorEastAsia"/>
          <w:color w:val="auto"/>
          <w:sz w:val="22"/>
        </w:rPr>
        <w:t>pplicant/</w:t>
      </w:r>
      <w:r>
        <w:rPr>
          <w:rFonts w:eastAsiaTheme="majorEastAsia"/>
          <w:color w:val="auto"/>
          <w:sz w:val="22"/>
        </w:rPr>
        <w:t>B</w:t>
      </w:r>
      <w:r w:rsidR="00EF6823">
        <w:rPr>
          <w:rFonts w:eastAsiaTheme="majorEastAsia"/>
          <w:color w:val="auto"/>
          <w:sz w:val="22"/>
        </w:rPr>
        <w:t xml:space="preserve">eneficiary under the </w:t>
      </w:r>
      <w:r>
        <w:rPr>
          <w:rFonts w:eastAsiaTheme="majorEastAsia"/>
          <w:color w:val="auto"/>
          <w:sz w:val="22"/>
        </w:rPr>
        <w:t>Call “</w:t>
      </w:r>
      <w:r w:rsidR="00EF6823">
        <w:rPr>
          <w:rFonts w:eastAsiaTheme="majorEastAsia"/>
          <w:color w:val="auto"/>
          <w:sz w:val="22"/>
        </w:rPr>
        <w:t xml:space="preserve">International </w:t>
      </w:r>
      <w:r>
        <w:rPr>
          <w:rFonts w:eastAsiaTheme="majorEastAsia"/>
          <w:color w:val="auto"/>
          <w:sz w:val="22"/>
        </w:rPr>
        <w:t>M</w:t>
      </w:r>
      <w:r w:rsidR="00EF6823">
        <w:rPr>
          <w:rFonts w:eastAsiaTheme="majorEastAsia"/>
          <w:color w:val="auto"/>
          <w:sz w:val="22"/>
        </w:rPr>
        <w:t xml:space="preserve">obility of </w:t>
      </w:r>
      <w:r>
        <w:rPr>
          <w:rFonts w:eastAsiaTheme="majorEastAsia"/>
          <w:color w:val="auto"/>
          <w:sz w:val="22"/>
        </w:rPr>
        <w:t>R</w:t>
      </w:r>
      <w:r w:rsidR="00EF6823">
        <w:rPr>
          <w:rFonts w:eastAsiaTheme="majorEastAsia"/>
          <w:color w:val="auto"/>
          <w:sz w:val="22"/>
        </w:rPr>
        <w:t>esearchers – MSCA-IF</w:t>
      </w:r>
      <w:r w:rsidR="00570CDE">
        <w:rPr>
          <w:rFonts w:eastAsiaTheme="majorEastAsia"/>
          <w:color w:val="auto"/>
          <w:sz w:val="22"/>
        </w:rPr>
        <w:t xml:space="preserve"> II</w:t>
      </w:r>
      <w:r>
        <w:rPr>
          <w:rFonts w:eastAsiaTheme="majorEastAsia"/>
          <w:color w:val="auto"/>
          <w:sz w:val="22"/>
        </w:rPr>
        <w:t>”</w:t>
      </w:r>
      <w:r w:rsidR="00EF6823">
        <w:rPr>
          <w:rFonts w:eastAsiaTheme="majorEastAsia"/>
          <w:color w:val="auto"/>
          <w:sz w:val="22"/>
        </w:rPr>
        <w:t xml:space="preserve"> must co-finance the project using the methodology </w:t>
      </w:r>
      <w:r w:rsidR="00407B32">
        <w:rPr>
          <w:rFonts w:eastAsiaTheme="majorEastAsia"/>
          <w:color w:val="auto"/>
          <w:sz w:val="22"/>
        </w:rPr>
        <w:t>r</w:t>
      </w:r>
      <w:r w:rsidR="00EF6823">
        <w:rPr>
          <w:rFonts w:eastAsiaTheme="majorEastAsia"/>
          <w:color w:val="auto"/>
          <w:sz w:val="22"/>
        </w:rPr>
        <w:t xml:space="preserve">ules of co-financing European structural and investment funds in 2014–2020 programming period, see Chapter 8.1.5 of the Rules for Applicants and Beneficiaries - Specific </w:t>
      </w:r>
      <w:r w:rsidR="00407B32">
        <w:rPr>
          <w:rFonts w:eastAsiaTheme="majorEastAsia"/>
          <w:color w:val="auto"/>
          <w:sz w:val="22"/>
        </w:rPr>
        <w:t xml:space="preserve">Section </w:t>
      </w:r>
      <w:r w:rsidR="00EF6823">
        <w:rPr>
          <w:rFonts w:eastAsiaTheme="majorEastAsia"/>
          <w:color w:val="auto"/>
          <w:sz w:val="22"/>
        </w:rPr>
        <w:t xml:space="preserve">for more information. </w:t>
      </w:r>
    </w:p>
    <w:p w14:paraId="2FA70696" w14:textId="5F5AE3C2" w:rsidR="00B56363" w:rsidRPr="003008C2" w:rsidRDefault="00B56363" w:rsidP="00EF6823">
      <w:pPr>
        <w:pStyle w:val="MPtextodr"/>
        <w:widowControl w:val="0"/>
        <w:numPr>
          <w:ilvl w:val="0"/>
          <w:numId w:val="8"/>
        </w:numPr>
        <w:adjustRightInd w:val="0"/>
        <w:spacing w:line="276" w:lineRule="auto"/>
        <w:ind w:left="426"/>
        <w:textAlignment w:val="baseline"/>
        <w:rPr>
          <w:rFonts w:eastAsiaTheme="majorEastAsia"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</w:rPr>
        <w:t>The costs of each of the mobilities are specified according to the classification of individual researchers for junior or senior position.</w:t>
      </w:r>
    </w:p>
    <w:p w14:paraId="05A917E9" w14:textId="1AF6F9AB" w:rsidR="00EF6823" w:rsidRPr="006D6FAB" w:rsidRDefault="00EF6823" w:rsidP="00EF6823">
      <w:pPr>
        <w:pStyle w:val="MPtextodr"/>
        <w:widowControl w:val="0"/>
        <w:numPr>
          <w:ilvl w:val="0"/>
          <w:numId w:val="0"/>
        </w:numPr>
        <w:adjustRightInd w:val="0"/>
        <w:spacing w:line="276" w:lineRule="auto"/>
        <w:textAlignment w:val="baseline"/>
        <w:rPr>
          <w:rFonts w:eastAsiaTheme="majorEastAsia"/>
          <w:bCs/>
          <w:color w:val="auto"/>
          <w:sz w:val="22"/>
          <w:szCs w:val="22"/>
          <w:u w:val="single"/>
        </w:rPr>
      </w:pPr>
      <w:r>
        <w:rPr>
          <w:rFonts w:eastAsiaTheme="majorEastAsia"/>
          <w:color w:val="auto"/>
          <w:sz w:val="22"/>
          <w:u w:val="single"/>
        </w:rPr>
        <w:t>Other differences applicable only to Activity No. 2: Support of the “no money” MSCA projects - departures from the Czech Republic</w:t>
      </w:r>
    </w:p>
    <w:p w14:paraId="4306F6CC" w14:textId="57C39AEC" w:rsidR="00EF6823" w:rsidRPr="006D6FAB" w:rsidRDefault="00EF6823" w:rsidP="00EF6823">
      <w:pPr>
        <w:pStyle w:val="MPtextodr"/>
        <w:widowControl w:val="0"/>
        <w:numPr>
          <w:ilvl w:val="0"/>
          <w:numId w:val="9"/>
        </w:numPr>
        <w:adjustRightInd w:val="0"/>
        <w:spacing w:line="276" w:lineRule="auto"/>
        <w:ind w:left="426"/>
        <w:textAlignment w:val="baseline"/>
        <w:rPr>
          <w:rFonts w:eastAsiaTheme="majorEastAsia"/>
          <w:bCs/>
          <w:color w:val="auto"/>
          <w:sz w:val="22"/>
          <w:szCs w:val="22"/>
        </w:rPr>
      </w:pPr>
      <w:r>
        <w:rPr>
          <w:rFonts w:eastAsiaTheme="majorEastAsia"/>
          <w:color w:val="auto"/>
          <w:sz w:val="22"/>
        </w:rPr>
        <w:t xml:space="preserve">The researcher must be an employee of the </w:t>
      </w:r>
      <w:r w:rsidR="00407B32">
        <w:rPr>
          <w:rFonts w:eastAsiaTheme="majorEastAsia"/>
          <w:color w:val="auto"/>
          <w:sz w:val="22"/>
        </w:rPr>
        <w:t>A</w:t>
      </w:r>
      <w:r>
        <w:rPr>
          <w:rFonts w:eastAsiaTheme="majorEastAsia"/>
          <w:color w:val="auto"/>
          <w:sz w:val="22"/>
        </w:rPr>
        <w:t>pplicant/</w:t>
      </w:r>
      <w:r w:rsidR="00407B32">
        <w:rPr>
          <w:rFonts w:eastAsiaTheme="majorEastAsia"/>
          <w:color w:val="auto"/>
          <w:sz w:val="22"/>
        </w:rPr>
        <w:t>B</w:t>
      </w:r>
      <w:r>
        <w:rPr>
          <w:rFonts w:eastAsiaTheme="majorEastAsia"/>
          <w:color w:val="auto"/>
          <w:sz w:val="22"/>
        </w:rPr>
        <w:t>eneficiary in the International mobility of researchers – MSCA-IF</w:t>
      </w:r>
      <w:r w:rsidR="00570CDE">
        <w:rPr>
          <w:rFonts w:eastAsiaTheme="majorEastAsia"/>
          <w:color w:val="auto"/>
          <w:sz w:val="22"/>
        </w:rPr>
        <w:t xml:space="preserve"> II</w:t>
      </w:r>
      <w:r>
        <w:rPr>
          <w:rFonts w:eastAsiaTheme="majorEastAsia"/>
          <w:color w:val="auto"/>
          <w:sz w:val="22"/>
        </w:rPr>
        <w:t xml:space="preserve">. </w:t>
      </w:r>
    </w:p>
    <w:p w14:paraId="7D36CFF0" w14:textId="3782B450" w:rsidR="00EF6823" w:rsidRPr="006D6FAB" w:rsidRDefault="00EF6823" w:rsidP="00EF6823">
      <w:pPr>
        <w:pStyle w:val="MPtextodr"/>
        <w:widowControl w:val="0"/>
        <w:numPr>
          <w:ilvl w:val="0"/>
          <w:numId w:val="9"/>
        </w:numPr>
        <w:adjustRightInd w:val="0"/>
        <w:spacing w:line="276" w:lineRule="auto"/>
        <w:ind w:left="426"/>
        <w:textAlignment w:val="baseline"/>
        <w:rPr>
          <w:rFonts w:eastAsiaTheme="majorEastAsia"/>
          <w:bCs/>
          <w:color w:val="auto"/>
          <w:sz w:val="22"/>
          <w:szCs w:val="22"/>
        </w:rPr>
      </w:pPr>
      <w:r>
        <w:rPr>
          <w:rFonts w:eastAsiaTheme="majorEastAsia"/>
          <w:sz w:val="22"/>
        </w:rPr>
        <w:t xml:space="preserve">In all activities regarding the departures from the Czech Republic, the mandatory return phase of 6 months must be implemented. </w:t>
      </w:r>
    </w:p>
    <w:p w14:paraId="7640B517" w14:textId="1F17D0E6" w:rsidR="009F1912" w:rsidRPr="004D199E" w:rsidRDefault="00407B32" w:rsidP="009F1912">
      <w:pPr>
        <w:pStyle w:val="Nadpis3"/>
        <w:rPr>
          <w:color w:val="auto"/>
        </w:rPr>
      </w:pPr>
      <w:r>
        <w:t>Excluded A</w:t>
      </w:r>
      <w:r w:rsidR="00F9632C">
        <w:t>ctivities</w:t>
      </w:r>
    </w:p>
    <w:p w14:paraId="1AFCD9DE" w14:textId="638CDBAD" w:rsidR="00D778B4" w:rsidRDefault="00C7757B" w:rsidP="00D778B4">
      <w:pPr>
        <w:pStyle w:val="Odstavecseseznamem"/>
        <w:numPr>
          <w:ilvl w:val="0"/>
          <w:numId w:val="10"/>
        </w:numPr>
        <w:spacing w:after="160"/>
        <w:contextualSpacing/>
        <w:jc w:val="left"/>
        <w:rPr>
          <w:rFonts w:eastAsiaTheme="majorEastAsia" w:cs="Arial"/>
          <w:b w:val="0"/>
          <w:bCs/>
          <w:color w:val="auto"/>
          <w:sz w:val="22"/>
          <w:szCs w:val="22"/>
        </w:rPr>
      </w:pPr>
      <w:r>
        <w:rPr>
          <w:rFonts w:eastAsiaTheme="majorEastAsia"/>
          <w:b w:val="0"/>
          <w:color w:val="auto"/>
          <w:sz w:val="22"/>
        </w:rPr>
        <w:t xml:space="preserve">Independent key </w:t>
      </w:r>
      <w:r w:rsidR="00F101A9">
        <w:rPr>
          <w:rFonts w:eastAsiaTheme="majorEastAsia"/>
          <w:b w:val="0"/>
          <w:color w:val="auto"/>
          <w:sz w:val="22"/>
        </w:rPr>
        <w:t>activity of Project Management.</w:t>
      </w:r>
    </w:p>
    <w:p w14:paraId="1E07F876" w14:textId="65CDC4C8" w:rsidR="00A349DD" w:rsidRPr="00A349DD" w:rsidRDefault="00BB7EA5" w:rsidP="00D778B4">
      <w:pPr>
        <w:pStyle w:val="Odstavecseseznamem"/>
        <w:numPr>
          <w:ilvl w:val="0"/>
          <w:numId w:val="10"/>
        </w:numPr>
        <w:spacing w:after="160"/>
        <w:contextualSpacing/>
        <w:jc w:val="left"/>
        <w:rPr>
          <w:rFonts w:eastAsiaTheme="majorEastAsia" w:cs="Arial"/>
          <w:b w:val="0"/>
          <w:bCs/>
          <w:color w:val="auto"/>
          <w:sz w:val="22"/>
          <w:szCs w:val="22"/>
        </w:rPr>
      </w:pPr>
      <w:r>
        <w:rPr>
          <w:rFonts w:eastAsiaTheme="majorEastAsia"/>
          <w:b w:val="0"/>
          <w:color w:val="auto"/>
          <w:sz w:val="22"/>
        </w:rPr>
        <w:t>Project implementation submitted into Horizon 2020- MSCA- Global fellowships</w:t>
      </w:r>
    </w:p>
    <w:p w14:paraId="32D38BBA" w14:textId="23BC99BD" w:rsidR="00A349DD" w:rsidRPr="00A349DD" w:rsidRDefault="00A349DD" w:rsidP="00D778B4">
      <w:pPr>
        <w:pStyle w:val="Odstavecseseznamem"/>
        <w:numPr>
          <w:ilvl w:val="0"/>
          <w:numId w:val="10"/>
        </w:numPr>
        <w:spacing w:after="160"/>
        <w:contextualSpacing/>
        <w:jc w:val="both"/>
        <w:rPr>
          <w:rFonts w:eastAsiaTheme="majorEastAsia" w:cs="Arial"/>
          <w:b w:val="0"/>
          <w:bCs/>
          <w:color w:val="auto"/>
          <w:sz w:val="22"/>
          <w:szCs w:val="22"/>
        </w:rPr>
      </w:pPr>
      <w:r>
        <w:rPr>
          <w:rFonts w:eastAsiaTheme="majorEastAsia"/>
          <w:b w:val="0"/>
          <w:color w:val="auto"/>
          <w:sz w:val="22"/>
        </w:rPr>
        <w:t xml:space="preserve">If a short-term secondment is integrated in the mobility of a researchers (as permissible by the conditions of Horizon 2020 – MSCA-IF), which does not meet the conditions set out by the </w:t>
      </w:r>
      <w:r>
        <w:rPr>
          <w:rFonts w:eastAsiaTheme="majorEastAsia"/>
          <w:b w:val="0"/>
          <w:color w:val="auto"/>
          <w:sz w:val="22"/>
        </w:rPr>
        <w:lastRenderedPageBreak/>
        <w:t>Managing Authority for the are</w:t>
      </w:r>
      <w:r w:rsidR="00C7757B">
        <w:rPr>
          <w:rFonts w:eastAsiaTheme="majorEastAsia"/>
          <w:b w:val="0"/>
          <w:color w:val="auto"/>
          <w:sz w:val="22"/>
        </w:rPr>
        <w:t xml:space="preserve">a of public aid this activity </w:t>
      </w:r>
      <w:r>
        <w:rPr>
          <w:rFonts w:eastAsiaTheme="majorEastAsia"/>
          <w:b w:val="0"/>
          <w:color w:val="auto"/>
          <w:sz w:val="22"/>
        </w:rPr>
        <w:t>cannot be supported. The secondment cannot be removed from the activity as a whole, i.e. the activity as a whole is not eligible to financing from OP RDE.</w:t>
      </w:r>
    </w:p>
    <w:p w14:paraId="78A435A2" w14:textId="3602BCEB" w:rsidR="00A349DD" w:rsidRDefault="00C7757B" w:rsidP="00D778B4">
      <w:pPr>
        <w:pStyle w:val="Odstavecseseznamem"/>
        <w:numPr>
          <w:ilvl w:val="0"/>
          <w:numId w:val="10"/>
        </w:numPr>
        <w:spacing w:after="160"/>
        <w:contextualSpacing/>
        <w:jc w:val="both"/>
        <w:rPr>
          <w:rFonts w:eastAsiaTheme="majorEastAsia" w:cs="Arial"/>
          <w:b w:val="0"/>
          <w:bCs/>
          <w:color w:val="auto"/>
          <w:sz w:val="22"/>
          <w:szCs w:val="22"/>
        </w:rPr>
      </w:pPr>
      <w:r>
        <w:rPr>
          <w:rFonts w:eastAsiaTheme="majorEastAsia"/>
          <w:b w:val="0"/>
          <w:color w:val="auto"/>
          <w:sz w:val="22"/>
        </w:rPr>
        <w:t xml:space="preserve">Common education </w:t>
      </w:r>
      <w:r w:rsidR="00A349DD">
        <w:rPr>
          <w:rFonts w:eastAsiaTheme="majorEastAsia"/>
          <w:b w:val="0"/>
          <w:color w:val="auto"/>
          <w:sz w:val="22"/>
        </w:rPr>
        <w:t>during the mobility implementation.</w:t>
      </w:r>
    </w:p>
    <w:p w14:paraId="125CD180" w14:textId="1D80DD0E" w:rsidR="00D778B4" w:rsidRPr="00D778B4" w:rsidRDefault="00D778B4" w:rsidP="00D778B4">
      <w:pPr>
        <w:pStyle w:val="Odstavecseseznamem"/>
        <w:spacing w:after="160"/>
        <w:ind w:left="720"/>
        <w:contextualSpacing/>
        <w:jc w:val="both"/>
        <w:rPr>
          <w:rFonts w:eastAsiaTheme="majorEastAsia" w:cs="Arial"/>
          <w:b w:val="0"/>
          <w:bCs/>
          <w:color w:val="auto"/>
          <w:sz w:val="22"/>
          <w:szCs w:val="22"/>
        </w:rPr>
      </w:pPr>
    </w:p>
    <w:p w14:paraId="0BF7F55F" w14:textId="5B242AE0" w:rsidR="009F1912" w:rsidRDefault="00C7757B" w:rsidP="00EF7F33">
      <w:pPr>
        <w:pStyle w:val="Nadpis3"/>
      </w:pPr>
      <w:r>
        <w:t>Target G</w:t>
      </w:r>
      <w:r w:rsidR="009F1912">
        <w:t>roup</w:t>
      </w:r>
    </w:p>
    <w:p w14:paraId="5F4E76AA" w14:textId="2D69CEF5" w:rsidR="000D3052" w:rsidRPr="00EB15B5" w:rsidRDefault="007C2CCB" w:rsidP="000D3052">
      <w:pPr>
        <w:rPr>
          <w:i/>
        </w:rPr>
      </w:pPr>
      <w:r>
        <w:t>Staff of research organisations.</w:t>
      </w:r>
      <w:r>
        <w:rPr>
          <w:highlight w:val="lightGray"/>
        </w:rPr>
        <w:t xml:space="preserve"> </w:t>
      </w:r>
    </w:p>
    <w:p w14:paraId="428CE85F" w14:textId="79335AEE" w:rsidR="009F1912" w:rsidRPr="00EF7F33" w:rsidRDefault="009F1912" w:rsidP="00EF7F33">
      <w:pPr>
        <w:pStyle w:val="Nadpis3"/>
      </w:pPr>
      <w:r>
        <w:t xml:space="preserve">Information on </w:t>
      </w:r>
      <w:r w:rsidR="00C7757B">
        <w:t>I</w:t>
      </w:r>
      <w:r>
        <w:t>nitial/</w:t>
      </w:r>
      <w:r w:rsidR="00C7757B">
        <w:t>F</w:t>
      </w:r>
      <w:r>
        <w:t xml:space="preserve">ollow-up </w:t>
      </w:r>
      <w:r w:rsidR="00C7757B">
        <w:t>S</w:t>
      </w:r>
      <w:r>
        <w:t xml:space="preserve">ynergy </w:t>
      </w:r>
      <w:r w:rsidR="00C7757B">
        <w:t>C</w:t>
      </w:r>
      <w:r>
        <w:t>alls</w:t>
      </w:r>
    </w:p>
    <w:p w14:paraId="3CA59109" w14:textId="77777777" w:rsidR="000D3052" w:rsidRPr="007C2CCB" w:rsidRDefault="000D3052" w:rsidP="000262B2">
      <w:r>
        <w:t>Irrelevant</w:t>
      </w:r>
    </w:p>
    <w:p w14:paraId="5889FB17" w14:textId="7631D5E6" w:rsidR="009F1912" w:rsidRDefault="00C7757B" w:rsidP="009F1912">
      <w:pPr>
        <w:pStyle w:val="Nadpis3"/>
        <w:rPr>
          <w:color w:val="auto"/>
        </w:rPr>
      </w:pPr>
      <w:r>
        <w:t>Links to S</w:t>
      </w:r>
      <w:r w:rsidR="009F1912">
        <w:t>trategies</w:t>
      </w:r>
    </w:p>
    <w:p w14:paraId="66060510" w14:textId="7C2D0354" w:rsidR="00F856C7" w:rsidRPr="00EB15B5" w:rsidRDefault="004E59E5" w:rsidP="000262B2">
      <w:pPr>
        <w:rPr>
          <w:highlight w:val="lightGray"/>
        </w:rPr>
      </w:pPr>
      <w:r>
        <w:rPr>
          <w:color w:val="auto"/>
        </w:rPr>
        <w:t xml:space="preserve">National Research and Innovation Strategy for Smart Specialisation of the Czech Republic (National RIS3 strategy) – contributes to the key area of changes B </w:t>
      </w:r>
      <w:r w:rsidR="00D45472">
        <w:rPr>
          <w:color w:val="auto"/>
        </w:rPr>
        <w:t>“</w:t>
      </w:r>
      <w:r>
        <w:rPr>
          <w:color w:val="auto"/>
        </w:rPr>
        <w:t xml:space="preserve">Increasing the </w:t>
      </w:r>
      <w:r w:rsidR="00D45472">
        <w:rPr>
          <w:color w:val="auto"/>
        </w:rPr>
        <w:t>Q</w:t>
      </w:r>
      <w:r>
        <w:rPr>
          <w:color w:val="auto"/>
        </w:rPr>
        <w:t xml:space="preserve">uality of </w:t>
      </w:r>
      <w:r w:rsidR="00D45472">
        <w:rPr>
          <w:color w:val="auto"/>
        </w:rPr>
        <w:t>R</w:t>
      </w:r>
      <w:r>
        <w:rPr>
          <w:color w:val="auto"/>
        </w:rPr>
        <w:t>esearch</w:t>
      </w:r>
      <w:r w:rsidR="00D45472">
        <w:rPr>
          <w:color w:val="auto"/>
        </w:rPr>
        <w:t>”</w:t>
      </w:r>
      <w:r>
        <w:rPr>
          <w:color w:val="auto"/>
        </w:rPr>
        <w:t xml:space="preserve">, particularly B. 1. 2 </w:t>
      </w:r>
      <w:r w:rsidR="00D45472">
        <w:rPr>
          <w:color w:val="auto"/>
        </w:rPr>
        <w:t>“</w:t>
      </w:r>
      <w:r>
        <w:rPr>
          <w:color w:val="auto"/>
        </w:rPr>
        <w:t xml:space="preserve">Increasing </w:t>
      </w:r>
      <w:r w:rsidR="00D45472">
        <w:rPr>
          <w:color w:val="auto"/>
        </w:rPr>
        <w:t>I</w:t>
      </w:r>
      <w:r>
        <w:rPr>
          <w:color w:val="auto"/>
        </w:rPr>
        <w:t xml:space="preserve">nternational </w:t>
      </w:r>
      <w:r w:rsidR="00D45472">
        <w:rPr>
          <w:color w:val="auto"/>
        </w:rPr>
        <w:t>O</w:t>
      </w:r>
      <w:r>
        <w:rPr>
          <w:color w:val="auto"/>
        </w:rPr>
        <w:t xml:space="preserve">penness of </w:t>
      </w:r>
      <w:r w:rsidR="00D45472">
        <w:rPr>
          <w:color w:val="auto"/>
        </w:rPr>
        <w:t>P</w:t>
      </w:r>
      <w:r>
        <w:rPr>
          <w:color w:val="auto"/>
        </w:rPr>
        <w:t xml:space="preserve">ublic </w:t>
      </w:r>
      <w:r w:rsidR="00D45472">
        <w:rPr>
          <w:color w:val="auto"/>
        </w:rPr>
        <w:t>R</w:t>
      </w:r>
      <w:r>
        <w:rPr>
          <w:color w:val="auto"/>
        </w:rPr>
        <w:t>esearch in the Czech Republic</w:t>
      </w:r>
      <w:r w:rsidR="00D45472">
        <w:rPr>
          <w:color w:val="auto"/>
        </w:rPr>
        <w:t>”</w:t>
      </w:r>
      <w:r>
        <w:rPr>
          <w:color w:val="auto"/>
        </w:rPr>
        <w:t xml:space="preserve">, activity type </w:t>
      </w:r>
      <w:r w:rsidR="00D45472">
        <w:rPr>
          <w:color w:val="auto"/>
        </w:rPr>
        <w:t>“</w:t>
      </w:r>
      <w:r>
        <w:rPr>
          <w:color w:val="auto"/>
        </w:rPr>
        <w:t xml:space="preserve">Support of </w:t>
      </w:r>
      <w:r w:rsidR="00D45472">
        <w:rPr>
          <w:color w:val="auto"/>
        </w:rPr>
        <w:t>I</w:t>
      </w:r>
      <w:r>
        <w:rPr>
          <w:color w:val="auto"/>
        </w:rPr>
        <w:t xml:space="preserve">nternational </w:t>
      </w:r>
      <w:r w:rsidR="00D45472">
        <w:rPr>
          <w:color w:val="auto"/>
        </w:rPr>
        <w:t>M</w:t>
      </w:r>
      <w:r>
        <w:rPr>
          <w:color w:val="auto"/>
        </w:rPr>
        <w:t xml:space="preserve">obility of </w:t>
      </w:r>
      <w:r w:rsidR="00D45472">
        <w:rPr>
          <w:color w:val="auto"/>
        </w:rPr>
        <w:t>R</w:t>
      </w:r>
      <w:r>
        <w:rPr>
          <w:color w:val="auto"/>
        </w:rPr>
        <w:t xml:space="preserve">esearch, </w:t>
      </w:r>
      <w:r w:rsidR="00D45472">
        <w:rPr>
          <w:color w:val="auto"/>
        </w:rPr>
        <w:t>T</w:t>
      </w:r>
      <w:r>
        <w:rPr>
          <w:color w:val="auto"/>
        </w:rPr>
        <w:t xml:space="preserve">echnical and </w:t>
      </w:r>
      <w:r w:rsidR="00D45472">
        <w:rPr>
          <w:color w:val="auto"/>
        </w:rPr>
        <w:t>A</w:t>
      </w:r>
      <w:r>
        <w:rPr>
          <w:color w:val="auto"/>
        </w:rPr>
        <w:t xml:space="preserve">dministrative </w:t>
      </w:r>
      <w:r w:rsidR="00D45472">
        <w:rPr>
          <w:color w:val="auto"/>
        </w:rPr>
        <w:t>S</w:t>
      </w:r>
      <w:r>
        <w:rPr>
          <w:color w:val="auto"/>
        </w:rPr>
        <w:t xml:space="preserve">taff in R&amp;D and </w:t>
      </w:r>
      <w:r w:rsidR="00360A2F">
        <w:rPr>
          <w:color w:val="auto"/>
        </w:rPr>
        <w:t>S</w:t>
      </w:r>
      <w:r>
        <w:rPr>
          <w:color w:val="auto"/>
        </w:rPr>
        <w:t>tudents</w:t>
      </w:r>
      <w:r w:rsidR="00360A2F">
        <w:rPr>
          <w:color w:val="auto"/>
        </w:rPr>
        <w:t>”</w:t>
      </w:r>
      <w:r>
        <w:rPr>
          <w:color w:val="auto"/>
        </w:rPr>
        <w:t xml:space="preserve"> and also key areas of changes D </w:t>
      </w:r>
      <w:r w:rsidR="00D45472">
        <w:rPr>
          <w:color w:val="auto"/>
        </w:rPr>
        <w:t>“</w:t>
      </w:r>
      <w:r>
        <w:rPr>
          <w:color w:val="auto"/>
        </w:rPr>
        <w:t xml:space="preserve">Better </w:t>
      </w:r>
      <w:r w:rsidR="00D45472">
        <w:rPr>
          <w:color w:val="auto"/>
        </w:rPr>
        <w:t>A</w:t>
      </w:r>
      <w:r>
        <w:rPr>
          <w:color w:val="auto"/>
        </w:rPr>
        <w:t xml:space="preserve">vailability of </w:t>
      </w:r>
      <w:r w:rsidR="00D45472">
        <w:rPr>
          <w:color w:val="auto"/>
        </w:rPr>
        <w:t>H</w:t>
      </w:r>
      <w:r>
        <w:rPr>
          <w:color w:val="auto"/>
        </w:rPr>
        <w:t xml:space="preserve">uman </w:t>
      </w:r>
      <w:r w:rsidR="00D45472">
        <w:rPr>
          <w:color w:val="auto"/>
        </w:rPr>
        <w:t>R</w:t>
      </w:r>
      <w:r>
        <w:rPr>
          <w:color w:val="auto"/>
        </w:rPr>
        <w:t xml:space="preserve">esources in terms of </w:t>
      </w:r>
      <w:r w:rsidR="00D45472">
        <w:rPr>
          <w:color w:val="auto"/>
        </w:rPr>
        <w:t>T</w:t>
      </w:r>
      <w:r>
        <w:rPr>
          <w:color w:val="auto"/>
        </w:rPr>
        <w:t xml:space="preserve">heir </w:t>
      </w:r>
      <w:r w:rsidR="00D45472">
        <w:rPr>
          <w:color w:val="auto"/>
        </w:rPr>
        <w:t>N</w:t>
      </w:r>
      <w:r>
        <w:rPr>
          <w:color w:val="auto"/>
        </w:rPr>
        <w:t xml:space="preserve">umbers and </w:t>
      </w:r>
      <w:r w:rsidR="00D45472">
        <w:rPr>
          <w:color w:val="auto"/>
        </w:rPr>
        <w:t xml:space="preserve">Quality </w:t>
      </w:r>
      <w:r>
        <w:rPr>
          <w:color w:val="auto"/>
        </w:rPr>
        <w:t xml:space="preserve">for </w:t>
      </w:r>
      <w:r w:rsidR="00D45472">
        <w:rPr>
          <w:color w:val="auto"/>
        </w:rPr>
        <w:t>B</w:t>
      </w:r>
      <w:r>
        <w:rPr>
          <w:color w:val="auto"/>
        </w:rPr>
        <w:t xml:space="preserve">usiness </w:t>
      </w:r>
      <w:r w:rsidR="00D45472">
        <w:rPr>
          <w:color w:val="auto"/>
        </w:rPr>
        <w:t>I</w:t>
      </w:r>
      <w:r>
        <w:rPr>
          <w:color w:val="auto"/>
        </w:rPr>
        <w:t xml:space="preserve">nnovations, </w:t>
      </w:r>
      <w:r w:rsidR="00D45472">
        <w:rPr>
          <w:color w:val="auto"/>
        </w:rPr>
        <w:t>R</w:t>
      </w:r>
      <w:r>
        <w:rPr>
          <w:color w:val="auto"/>
        </w:rPr>
        <w:t xml:space="preserve">esearch and </w:t>
      </w:r>
      <w:r w:rsidR="00D45472">
        <w:rPr>
          <w:color w:val="auto"/>
        </w:rPr>
        <w:t>D</w:t>
      </w:r>
      <w:r>
        <w:rPr>
          <w:color w:val="auto"/>
        </w:rPr>
        <w:t xml:space="preserve">evelopment, more specifically D. 3. 3 </w:t>
      </w:r>
      <w:r w:rsidR="00D45472">
        <w:rPr>
          <w:color w:val="auto"/>
        </w:rPr>
        <w:t>“</w:t>
      </w:r>
      <w:r>
        <w:rPr>
          <w:color w:val="auto"/>
        </w:rPr>
        <w:t xml:space="preserve">Increasing the </w:t>
      </w:r>
      <w:r w:rsidR="00D45472">
        <w:rPr>
          <w:color w:val="auto"/>
        </w:rPr>
        <w:t>A</w:t>
      </w:r>
      <w:r>
        <w:rPr>
          <w:color w:val="auto"/>
        </w:rPr>
        <w:t xml:space="preserve">ttractiveness of </w:t>
      </w:r>
      <w:r w:rsidR="00D45472">
        <w:rPr>
          <w:color w:val="auto"/>
        </w:rPr>
        <w:t>R</w:t>
      </w:r>
      <w:r>
        <w:rPr>
          <w:color w:val="auto"/>
        </w:rPr>
        <w:t xml:space="preserve">esearch </w:t>
      </w:r>
      <w:r w:rsidR="00D45472">
        <w:rPr>
          <w:color w:val="auto"/>
        </w:rPr>
        <w:t>C</w:t>
      </w:r>
      <w:r>
        <w:rPr>
          <w:color w:val="auto"/>
        </w:rPr>
        <w:t xml:space="preserve">areers and </w:t>
      </w:r>
      <w:r w:rsidR="00D45472">
        <w:rPr>
          <w:color w:val="auto"/>
        </w:rPr>
        <w:t>Q</w:t>
      </w:r>
      <w:r>
        <w:rPr>
          <w:color w:val="auto"/>
        </w:rPr>
        <w:t xml:space="preserve">uality of </w:t>
      </w:r>
      <w:r w:rsidR="00D45472">
        <w:rPr>
          <w:color w:val="auto"/>
        </w:rPr>
        <w:t>T</w:t>
      </w:r>
      <w:r>
        <w:rPr>
          <w:color w:val="auto"/>
        </w:rPr>
        <w:t xml:space="preserve">raining of the </w:t>
      </w:r>
      <w:r w:rsidR="00D45472">
        <w:rPr>
          <w:color w:val="auto"/>
        </w:rPr>
        <w:t>F</w:t>
      </w:r>
      <w:r>
        <w:rPr>
          <w:color w:val="auto"/>
        </w:rPr>
        <w:t>uture researchers</w:t>
      </w:r>
      <w:r w:rsidR="00D45472">
        <w:rPr>
          <w:color w:val="auto"/>
        </w:rPr>
        <w:t>”</w:t>
      </w:r>
      <w:r>
        <w:rPr>
          <w:color w:val="auto"/>
        </w:rPr>
        <w:t xml:space="preserve">, activity type </w:t>
      </w:r>
      <w:r w:rsidR="00D45472">
        <w:rPr>
          <w:color w:val="auto"/>
        </w:rPr>
        <w:t>“</w:t>
      </w:r>
      <w:r>
        <w:rPr>
          <w:color w:val="auto"/>
        </w:rPr>
        <w:t xml:space="preserve">Improving </w:t>
      </w:r>
      <w:r w:rsidR="00D45472">
        <w:rPr>
          <w:color w:val="auto"/>
        </w:rPr>
        <w:t>I</w:t>
      </w:r>
      <w:r>
        <w:rPr>
          <w:color w:val="auto"/>
        </w:rPr>
        <w:t xml:space="preserve">nternational </w:t>
      </w:r>
      <w:r w:rsidR="00D45472">
        <w:rPr>
          <w:color w:val="auto"/>
        </w:rPr>
        <w:t>M</w:t>
      </w:r>
      <w:r>
        <w:rPr>
          <w:color w:val="auto"/>
        </w:rPr>
        <w:t xml:space="preserve">obility in the European </w:t>
      </w:r>
      <w:r w:rsidR="00D45472">
        <w:rPr>
          <w:color w:val="auto"/>
        </w:rPr>
        <w:t>R</w:t>
      </w:r>
      <w:r>
        <w:rPr>
          <w:color w:val="auto"/>
        </w:rPr>
        <w:t xml:space="preserve">esearch </w:t>
      </w:r>
      <w:r w:rsidR="00D45472">
        <w:rPr>
          <w:color w:val="auto"/>
        </w:rPr>
        <w:t>A</w:t>
      </w:r>
      <w:r>
        <w:rPr>
          <w:color w:val="auto"/>
        </w:rPr>
        <w:t>rea (ERA)</w:t>
      </w:r>
      <w:r w:rsidR="00D45472">
        <w:rPr>
          <w:color w:val="auto"/>
        </w:rPr>
        <w:t>”</w:t>
      </w:r>
      <w:r>
        <w:rPr>
          <w:color w:val="auto"/>
        </w:rPr>
        <w:t>.</w:t>
      </w:r>
    </w:p>
    <w:p w14:paraId="24488CBB" w14:textId="5F1BD3D6" w:rsidR="000D3052" w:rsidRDefault="00F856C7" w:rsidP="000262B2">
      <w:r>
        <w:t xml:space="preserve">Other conditions are set out in Chapter 4 of the Rules for Applicants and Beneficiaries – General and Specific </w:t>
      </w:r>
      <w:r w:rsidR="00943212">
        <w:t>Section</w:t>
      </w:r>
      <w:r>
        <w:t>.</w:t>
      </w:r>
    </w:p>
    <w:p w14:paraId="3482CF31" w14:textId="0F8D6AC3" w:rsidR="009F1912" w:rsidRDefault="00943212" w:rsidP="009F1912">
      <w:pPr>
        <w:pStyle w:val="Nadpis1"/>
      </w:pPr>
      <w:bookmarkStart w:id="6" w:name="_Toc460571263"/>
      <w:r>
        <w:t>Territorial F</w:t>
      </w:r>
      <w:r w:rsidR="009F1912">
        <w:t>ocus</w:t>
      </w:r>
      <w:bookmarkEnd w:id="6"/>
    </w:p>
    <w:p w14:paraId="5AAF50E1" w14:textId="192201F4" w:rsidR="00B227CE" w:rsidRDefault="00B227CE" w:rsidP="00B227CE">
      <w:r>
        <w:rPr>
          <w:rFonts w:ascii="Calibri" w:hAnsi="Calibri"/>
          <w:color w:val="000000"/>
        </w:rPr>
        <w:t xml:space="preserve">The conditions are given in Chapter 5.2.2. </w:t>
      </w:r>
      <w:r>
        <w:t xml:space="preserve">Rules for Applicants and Beneficiaries – Specific </w:t>
      </w:r>
      <w:r w:rsidR="00943212">
        <w:t>Section</w:t>
      </w:r>
      <w:r>
        <w:t>.</w:t>
      </w:r>
    </w:p>
    <w:p w14:paraId="19535728" w14:textId="6564392D" w:rsidR="009F1912" w:rsidRPr="00C5773A" w:rsidRDefault="00943212" w:rsidP="009F1912">
      <w:pPr>
        <w:pStyle w:val="Nadpis2"/>
      </w:pPr>
      <w:r>
        <w:lastRenderedPageBreak/>
        <w:t>Eligible Place of Operation I</w:t>
      </w:r>
      <w:r w:rsidR="009F1912">
        <w:t>mpact</w:t>
      </w:r>
    </w:p>
    <w:p w14:paraId="5401FB6E" w14:textId="3761FEDD" w:rsidR="000D3052" w:rsidRDefault="000D3052" w:rsidP="000262B2">
      <w:r>
        <w:t>The territory of the Czech Republic.</w:t>
      </w:r>
    </w:p>
    <w:p w14:paraId="2D435088" w14:textId="4ED275A8" w:rsidR="009F1912" w:rsidRPr="004D199E" w:rsidRDefault="00943212" w:rsidP="009F1912">
      <w:pPr>
        <w:pStyle w:val="Nadpis2"/>
      </w:pPr>
      <w:r>
        <w:t xml:space="preserve">Eligible Place </w:t>
      </w:r>
      <w:r w:rsidR="00DF2175">
        <w:t xml:space="preserve">of </w:t>
      </w:r>
      <w:r>
        <w:t>I</w:t>
      </w:r>
      <w:r w:rsidR="00DF2175">
        <w:t>mplementation</w:t>
      </w:r>
    </w:p>
    <w:p w14:paraId="4A5367E6" w14:textId="7E63340F" w:rsidR="00B227CE" w:rsidRPr="00C02E12" w:rsidRDefault="000D3052" w:rsidP="000262B2">
      <w:pPr>
        <w:rPr>
          <w:rFonts w:ascii="Calibri" w:hAnsi="Calibri" w:cs="Calibri"/>
          <w:color w:val="000000"/>
        </w:rPr>
      </w:pPr>
      <w:bookmarkStart w:id="7" w:name="_Toc460571264"/>
      <w:r>
        <w:t xml:space="preserve">The territory of the Czech Republic; </w:t>
      </w:r>
      <w:r>
        <w:rPr>
          <w:rFonts w:ascii="Calibri" w:hAnsi="Calibri"/>
          <w:color w:val="000000"/>
        </w:rPr>
        <w:t>selected project activities can also be implemented outside the territory of the Czech</w:t>
      </w:r>
      <w:r w:rsidR="00943212">
        <w:rPr>
          <w:rFonts w:ascii="Calibri" w:hAnsi="Calibri"/>
          <w:color w:val="000000"/>
        </w:rPr>
        <w:t xml:space="preserve"> Republic, both in and outside </w:t>
      </w:r>
      <w:r>
        <w:rPr>
          <w:rFonts w:ascii="Calibri" w:hAnsi="Calibri"/>
          <w:color w:val="000000"/>
        </w:rPr>
        <w:t>of the EU territory.</w:t>
      </w:r>
    </w:p>
    <w:p w14:paraId="7850062B" w14:textId="692B9CB7" w:rsidR="009F1912" w:rsidRPr="00381EB4" w:rsidRDefault="009F1912" w:rsidP="009F1912">
      <w:pPr>
        <w:pStyle w:val="Nadpis1"/>
      </w:pPr>
      <w:r>
        <w:t xml:space="preserve">Expenditure </w:t>
      </w:r>
      <w:r w:rsidR="00943212">
        <w:t>E</w:t>
      </w:r>
      <w:r>
        <w:t>ligibility</w:t>
      </w:r>
      <w:bookmarkEnd w:id="7"/>
    </w:p>
    <w:p w14:paraId="310985AD" w14:textId="2D7008FE" w:rsidR="009F1912" w:rsidRPr="006106D3" w:rsidRDefault="00943212" w:rsidP="009F1912">
      <w:pPr>
        <w:pStyle w:val="Nadpis2"/>
      </w:pPr>
      <w:r>
        <w:t>Objective</w:t>
      </w:r>
      <w:r w:rsidR="009F1912">
        <w:t xml:space="preserve"> and </w:t>
      </w:r>
      <w:r>
        <w:t>T</w:t>
      </w:r>
      <w:r w:rsidR="009F1912">
        <w:t xml:space="preserve">ime </w:t>
      </w:r>
      <w:r>
        <w:t>E</w:t>
      </w:r>
      <w:r w:rsidR="009F1912">
        <w:t>ligibility</w:t>
      </w:r>
    </w:p>
    <w:p w14:paraId="0329C7E8" w14:textId="0D65CB2D" w:rsidR="005B03E7" w:rsidRDefault="00943212" w:rsidP="005B03E7">
      <w:pPr>
        <w:pStyle w:val="Odstavecseseznamem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</w:rPr>
        <w:t xml:space="preserve">Objective </w:t>
      </w:r>
      <w:r w:rsidR="005B03E7">
        <w:rPr>
          <w:b w:val="0"/>
          <w:color w:val="000000" w:themeColor="text1"/>
          <w:sz w:val="22"/>
        </w:rPr>
        <w:t xml:space="preserve">eligibility is defined in the Rules for Applicants and Beneficiaries – General </w:t>
      </w:r>
      <w:r w:rsidR="00D97BA4">
        <w:rPr>
          <w:b w:val="0"/>
          <w:color w:val="000000" w:themeColor="text1"/>
          <w:sz w:val="22"/>
        </w:rPr>
        <w:t>Section</w:t>
      </w:r>
      <w:r w:rsidR="005B03E7">
        <w:rPr>
          <w:b w:val="0"/>
          <w:color w:val="000000" w:themeColor="text1"/>
          <w:sz w:val="22"/>
        </w:rPr>
        <w:t xml:space="preserve"> and specific information regarding this </w:t>
      </w:r>
      <w:r>
        <w:rPr>
          <w:b w:val="0"/>
          <w:color w:val="000000" w:themeColor="text1"/>
          <w:sz w:val="22"/>
        </w:rPr>
        <w:t>Call</w:t>
      </w:r>
      <w:r w:rsidR="005B03E7">
        <w:rPr>
          <w:b w:val="0"/>
          <w:color w:val="000000" w:themeColor="text1"/>
          <w:sz w:val="22"/>
        </w:rPr>
        <w:t xml:space="preserve"> are provided in the Rules for Applicants and Beneficiaries – Specific </w:t>
      </w:r>
      <w:r w:rsidR="00D97BA4">
        <w:rPr>
          <w:b w:val="0"/>
          <w:color w:val="000000" w:themeColor="text1"/>
          <w:sz w:val="22"/>
        </w:rPr>
        <w:t>Section</w:t>
      </w:r>
      <w:r w:rsidR="005B03E7">
        <w:rPr>
          <w:b w:val="0"/>
          <w:color w:val="000000" w:themeColor="text1"/>
          <w:sz w:val="22"/>
        </w:rPr>
        <w:t xml:space="preserve">. At the same time, the provided aid has a non-investment character. </w:t>
      </w:r>
    </w:p>
    <w:p w14:paraId="53417799" w14:textId="51FCF4F5" w:rsidR="005B03E7" w:rsidRPr="005B03E7" w:rsidRDefault="005B03E7" w:rsidP="005B03E7">
      <w:pPr>
        <w:pStyle w:val="Nadpis2"/>
        <w:keepNext w:val="0"/>
        <w:numPr>
          <w:ilvl w:val="0"/>
          <w:numId w:val="0"/>
        </w:numPr>
        <w:tabs>
          <w:tab w:val="left" w:pos="0"/>
        </w:tabs>
        <w:spacing w:before="200"/>
        <w:rPr>
          <w:rFonts w:eastAsiaTheme="minorHAnsi" w:cstheme="minorBidi"/>
          <w:b w:val="0"/>
          <w:color w:val="000000" w:themeColor="text1"/>
          <w:sz w:val="22"/>
          <w:szCs w:val="22"/>
        </w:rPr>
      </w:pPr>
      <w:r>
        <w:rPr>
          <w:rFonts w:eastAsiaTheme="minorHAnsi" w:cstheme="minorBidi"/>
          <w:b w:val="0"/>
          <w:color w:val="000000" w:themeColor="text1"/>
          <w:sz w:val="22"/>
        </w:rPr>
        <w:t>T</w:t>
      </w:r>
      <w:r w:rsidR="00D97BA4">
        <w:rPr>
          <w:rFonts w:eastAsiaTheme="minorHAnsi" w:cstheme="minorBidi"/>
          <w:b w:val="0"/>
          <w:color w:val="000000" w:themeColor="text1"/>
          <w:sz w:val="22"/>
        </w:rPr>
        <w:t xml:space="preserve">ime </w:t>
      </w:r>
      <w:r>
        <w:rPr>
          <w:rFonts w:eastAsiaTheme="minorHAnsi" w:cstheme="minorBidi"/>
          <w:b w:val="0"/>
          <w:color w:val="000000" w:themeColor="text1"/>
          <w:sz w:val="22"/>
        </w:rPr>
        <w:t>eligibility of expenditure</w:t>
      </w:r>
      <w:r w:rsidR="00D97BA4">
        <w:rPr>
          <w:rFonts w:eastAsiaTheme="minorHAnsi" w:cstheme="minorBidi"/>
          <w:b w:val="0"/>
          <w:color w:val="000000" w:themeColor="text1"/>
          <w:sz w:val="22"/>
        </w:rPr>
        <w:t>s</w:t>
      </w:r>
      <w:r>
        <w:rPr>
          <w:rFonts w:eastAsiaTheme="minorHAnsi" w:cstheme="minorBidi"/>
          <w:b w:val="0"/>
          <w:color w:val="000000" w:themeColor="text1"/>
          <w:sz w:val="22"/>
        </w:rPr>
        <w:t xml:space="preserve"> is defined in the Rules for Applicants and Beneficiaries – General </w:t>
      </w:r>
      <w:r w:rsidR="00D97BA4">
        <w:rPr>
          <w:rFonts w:eastAsiaTheme="minorHAnsi" w:cstheme="minorBidi"/>
          <w:b w:val="0"/>
          <w:color w:val="000000" w:themeColor="text1"/>
          <w:sz w:val="22"/>
        </w:rPr>
        <w:t>Section</w:t>
      </w:r>
      <w:r>
        <w:rPr>
          <w:rFonts w:eastAsiaTheme="minorHAnsi" w:cstheme="minorBidi"/>
          <w:b w:val="0"/>
          <w:color w:val="000000" w:themeColor="text1"/>
          <w:sz w:val="22"/>
        </w:rPr>
        <w:t xml:space="preserve">. For additional information and specific aspects regarding </w:t>
      </w:r>
      <w:r w:rsidR="00943212">
        <w:rPr>
          <w:rFonts w:eastAsiaTheme="minorHAnsi" w:cstheme="minorBidi"/>
          <w:b w:val="0"/>
          <w:color w:val="000000" w:themeColor="text1"/>
          <w:sz w:val="22"/>
        </w:rPr>
        <w:t xml:space="preserve">time </w:t>
      </w:r>
      <w:r>
        <w:rPr>
          <w:rFonts w:eastAsiaTheme="minorHAnsi" w:cstheme="minorBidi"/>
          <w:b w:val="0"/>
          <w:color w:val="000000" w:themeColor="text1"/>
          <w:sz w:val="22"/>
        </w:rPr>
        <w:t xml:space="preserve">eligibility under this </w:t>
      </w:r>
      <w:r w:rsidR="00D97BA4">
        <w:rPr>
          <w:rFonts w:eastAsiaTheme="minorHAnsi" w:cstheme="minorBidi"/>
          <w:b w:val="0"/>
          <w:color w:val="000000" w:themeColor="text1"/>
          <w:sz w:val="22"/>
        </w:rPr>
        <w:t>C</w:t>
      </w:r>
      <w:r>
        <w:rPr>
          <w:rFonts w:eastAsiaTheme="minorHAnsi" w:cstheme="minorBidi"/>
          <w:b w:val="0"/>
          <w:color w:val="000000" w:themeColor="text1"/>
          <w:sz w:val="22"/>
        </w:rPr>
        <w:t xml:space="preserve">all, see Rules for Applicants and Beneficiaries – Specific </w:t>
      </w:r>
      <w:r w:rsidR="00D97BA4">
        <w:rPr>
          <w:rFonts w:eastAsiaTheme="minorHAnsi" w:cstheme="minorBidi"/>
          <w:b w:val="0"/>
          <w:color w:val="000000" w:themeColor="text1"/>
          <w:sz w:val="22"/>
        </w:rPr>
        <w:t>Section</w:t>
      </w:r>
      <w:r>
        <w:rPr>
          <w:rFonts w:eastAsiaTheme="minorHAnsi" w:cstheme="minorBidi"/>
          <w:b w:val="0"/>
          <w:color w:val="000000" w:themeColor="text1"/>
          <w:sz w:val="22"/>
        </w:rPr>
        <w:t>. At the same time, expenditure is t</w:t>
      </w:r>
      <w:r w:rsidR="00D97BA4">
        <w:rPr>
          <w:rFonts w:eastAsiaTheme="minorHAnsi" w:cstheme="minorBidi"/>
          <w:b w:val="0"/>
          <w:color w:val="000000" w:themeColor="text1"/>
          <w:sz w:val="22"/>
        </w:rPr>
        <w:t xml:space="preserve">ime </w:t>
      </w:r>
      <w:r>
        <w:rPr>
          <w:rFonts w:eastAsiaTheme="minorHAnsi" w:cstheme="minorBidi"/>
          <w:b w:val="0"/>
          <w:color w:val="000000" w:themeColor="text1"/>
          <w:sz w:val="22"/>
        </w:rPr>
        <w:t xml:space="preserve">eligible from the announcement of the Call in IS KP14+. The </w:t>
      </w:r>
      <w:r w:rsidR="00D97BA4">
        <w:rPr>
          <w:rFonts w:eastAsiaTheme="minorHAnsi" w:cstheme="minorBidi"/>
          <w:b w:val="0"/>
          <w:color w:val="000000" w:themeColor="text1"/>
          <w:sz w:val="22"/>
        </w:rPr>
        <w:t>grant cannot be awarded</w:t>
      </w:r>
      <w:r>
        <w:rPr>
          <w:rFonts w:eastAsiaTheme="minorHAnsi" w:cstheme="minorBidi"/>
          <w:b w:val="0"/>
          <w:color w:val="000000" w:themeColor="text1"/>
          <w:sz w:val="22"/>
        </w:rPr>
        <w:t xml:space="preserve">, if the activity was terminated or fully performed before the legal act </w:t>
      </w:r>
      <w:r w:rsidR="00D97BA4">
        <w:rPr>
          <w:rFonts w:eastAsiaTheme="minorHAnsi" w:cstheme="minorBidi"/>
          <w:b w:val="0"/>
          <w:color w:val="000000" w:themeColor="text1"/>
          <w:sz w:val="22"/>
        </w:rPr>
        <w:t>on the grant award</w:t>
      </w:r>
      <w:r>
        <w:rPr>
          <w:rFonts w:eastAsiaTheme="minorHAnsi" w:cstheme="minorBidi"/>
          <w:b w:val="0"/>
          <w:color w:val="000000" w:themeColor="text1"/>
          <w:sz w:val="22"/>
        </w:rPr>
        <w:t>/transfer was issued.</w:t>
      </w:r>
    </w:p>
    <w:p w14:paraId="31B0B3A9" w14:textId="51627649" w:rsidR="009F1912" w:rsidRDefault="00D97BA4" w:rsidP="009F1912">
      <w:pPr>
        <w:pStyle w:val="Nadpis2"/>
      </w:pPr>
      <w:r>
        <w:t>Monitoring P</w:t>
      </w:r>
      <w:r w:rsidR="00DF2175">
        <w:t>eriod</w:t>
      </w:r>
    </w:p>
    <w:p w14:paraId="11CCD9BB" w14:textId="2DBB7D6B" w:rsidR="009330B0" w:rsidRPr="0095763D" w:rsidRDefault="009330B0" w:rsidP="009330B0">
      <w:pPr>
        <w:rPr>
          <w:rFonts w:cs="Arial"/>
        </w:rPr>
      </w:pPr>
      <w:r>
        <w:t>For this call, the length of the monitor</w:t>
      </w:r>
      <w:r w:rsidR="00D97BA4">
        <w:t xml:space="preserve">ing </w:t>
      </w:r>
      <w:r>
        <w:t>period for 12 month</w:t>
      </w:r>
      <w:r w:rsidR="00D97BA4">
        <w:t>s</w:t>
      </w:r>
      <w:r>
        <w:t xml:space="preserve"> projects is set to be 3 months and for projects with duration over 12 months </w:t>
      </w:r>
      <w:r w:rsidR="00D97BA4">
        <w:t xml:space="preserve">it </w:t>
      </w:r>
      <w:r>
        <w:t>is set to be 6 months</w:t>
      </w:r>
      <w:r w:rsidR="00D54704">
        <w:t xml:space="preserve">. </w:t>
      </w:r>
      <w:r>
        <w:t xml:space="preserve">, </w:t>
      </w:r>
    </w:p>
    <w:p w14:paraId="62E9379B" w14:textId="3865F809" w:rsidR="009F1912" w:rsidRDefault="00D97BA4" w:rsidP="009F1912">
      <w:pPr>
        <w:pStyle w:val="Nadpis2"/>
      </w:pPr>
      <w:r>
        <w:lastRenderedPageBreak/>
        <w:t xml:space="preserve">Method of </w:t>
      </w:r>
      <w:r w:rsidR="009F1912">
        <w:t>R</w:t>
      </w:r>
      <w:r>
        <w:t>eporting of T</w:t>
      </w:r>
      <w:r w:rsidR="009F1912">
        <w:t xml:space="preserve">otal </w:t>
      </w:r>
      <w:r>
        <w:t>E</w:t>
      </w:r>
      <w:r w:rsidR="009F1912">
        <w:t xml:space="preserve">ligible </w:t>
      </w:r>
      <w:r>
        <w:t>E</w:t>
      </w:r>
      <w:r w:rsidR="009F1912">
        <w:t>xpenditure</w:t>
      </w:r>
    </w:p>
    <w:p w14:paraId="65E8D05A" w14:textId="51C99369" w:rsidR="000D3052" w:rsidRDefault="000D3052" w:rsidP="000262B2">
      <w:r>
        <w:t xml:space="preserve">The total eligible expenditures will be reported using a </w:t>
      </w:r>
      <w:r w:rsidR="00D97BA4">
        <w:t>simplified form of reporting – s</w:t>
      </w:r>
      <w:r>
        <w:t xml:space="preserve">tandard scale of unit costs. More detailed information is set out in Chapter 8.6.2 of the Rules for Applicants and Beneficiaries – General and Specific </w:t>
      </w:r>
      <w:r w:rsidR="00D97BA4">
        <w:t>Section</w:t>
      </w:r>
      <w:r>
        <w:t>.</w:t>
      </w:r>
    </w:p>
    <w:p w14:paraId="31A37910" w14:textId="1565AE8C" w:rsidR="009F1912" w:rsidRPr="00381EB4" w:rsidRDefault="00D97BA4" w:rsidP="009F1912">
      <w:pPr>
        <w:pStyle w:val="Nadpis1"/>
      </w:pPr>
      <w:bookmarkStart w:id="8" w:name="_Toc460571265"/>
      <w:r>
        <w:t xml:space="preserve">Requirements of </w:t>
      </w:r>
      <w:r w:rsidR="0098449C">
        <w:t xml:space="preserve">the </w:t>
      </w:r>
      <w:r>
        <w:t>Grant A</w:t>
      </w:r>
      <w:r w:rsidR="009F1912">
        <w:t>pplications</w:t>
      </w:r>
      <w:bookmarkEnd w:id="8"/>
    </w:p>
    <w:p w14:paraId="3D17B0B8" w14:textId="3E394EF7" w:rsidR="00731C48" w:rsidRPr="00597952" w:rsidRDefault="00D97BA4" w:rsidP="00731C48">
      <w:pPr>
        <w:rPr>
          <w:rFonts w:eastAsia="Calibri" w:cs="Arial"/>
        </w:rPr>
      </w:pPr>
      <w:r>
        <w:t>Grant</w:t>
      </w:r>
      <w:r w:rsidR="00610B48">
        <w:t xml:space="preserve"> applications</w:t>
      </w:r>
      <w:r w:rsidR="00DD7EF1">
        <w:rPr>
          <w:rStyle w:val="Znakapoznpodarou"/>
        </w:rPr>
        <w:footnoteReference w:id="4"/>
      </w:r>
      <w:r w:rsidR="00610B48">
        <w:t xml:space="preserve"> are submitted through IS KP14+ at </w:t>
      </w:r>
      <w:hyperlink r:id="rId12">
        <w:r w:rsidR="00610B48">
          <w:rPr>
            <w:rStyle w:val="Hypertextovodkaz"/>
          </w:rPr>
          <w:t>https://mseu.mssf.cz/index.aspx</w:t>
        </w:r>
      </w:hyperlink>
      <w:r w:rsidR="00610B48">
        <w:t xml:space="preserve">. </w:t>
      </w:r>
      <w:r>
        <w:t>The grant</w:t>
      </w:r>
      <w:r w:rsidR="00610B48">
        <w:t xml:space="preserve"> application must be submitted in </w:t>
      </w:r>
      <w:r>
        <w:t xml:space="preserve">the </w:t>
      </w:r>
      <w:r w:rsidR="00610B48">
        <w:t>Czech</w:t>
      </w:r>
      <w:r>
        <w:t xml:space="preserve"> language</w:t>
      </w:r>
      <w:r w:rsidR="00610B48">
        <w:t xml:space="preserve">. Relevant annexes can also be submitted in </w:t>
      </w:r>
      <w:r>
        <w:t xml:space="preserve">the </w:t>
      </w:r>
      <w:r w:rsidR="00610B48">
        <w:t>English or Slovak</w:t>
      </w:r>
      <w:r>
        <w:t xml:space="preserve"> language</w:t>
      </w:r>
      <w:r w:rsidR="00436A0B">
        <w:t>s,</w:t>
      </w:r>
      <w:r w:rsidR="00610B48">
        <w:t xml:space="preserve"> as specified in more detail in Chapter 18 of the Rules for Applicants and Beneficiaries – Specific </w:t>
      </w:r>
      <w:r>
        <w:t>Section</w:t>
      </w:r>
      <w:r w:rsidR="00610B48">
        <w:t>.</w:t>
      </w:r>
    </w:p>
    <w:p w14:paraId="55A745EC" w14:textId="4ED5663C" w:rsidR="00FF6F49" w:rsidRDefault="00FF6F49" w:rsidP="000262B2">
      <w:r>
        <w:rPr>
          <w:b/>
        </w:rPr>
        <w:t xml:space="preserve">The </w:t>
      </w:r>
      <w:r w:rsidR="00D97BA4">
        <w:rPr>
          <w:b/>
        </w:rPr>
        <w:t>grant</w:t>
      </w:r>
      <w:r>
        <w:rPr>
          <w:b/>
        </w:rPr>
        <w:t xml:space="preserve"> application must be provided with an electronic signature of the </w:t>
      </w:r>
      <w:r w:rsidR="00943212">
        <w:rPr>
          <w:b/>
        </w:rPr>
        <w:t>statutory</w:t>
      </w:r>
      <w:r>
        <w:rPr>
          <w:b/>
        </w:rPr>
        <w:t xml:space="preserve"> body of the applicant or </w:t>
      </w:r>
      <w:r w:rsidR="00D97BA4">
        <w:rPr>
          <w:b/>
        </w:rPr>
        <w:t xml:space="preserve">of </w:t>
      </w:r>
      <w:r>
        <w:rPr>
          <w:b/>
        </w:rPr>
        <w:t xml:space="preserve">a person authorized to sign on behalf of the applicant </w:t>
      </w:r>
      <w:r w:rsidR="00D97BA4">
        <w:rPr>
          <w:b/>
        </w:rPr>
        <w:t xml:space="preserve">under the </w:t>
      </w:r>
      <w:r>
        <w:rPr>
          <w:b/>
        </w:rPr>
        <w:t>power of attorney.</w:t>
      </w:r>
    </w:p>
    <w:p w14:paraId="4E07C777" w14:textId="00A55004" w:rsidR="009F67FC" w:rsidRDefault="009F67FC" w:rsidP="000262B2">
      <w:pPr>
        <w:rPr>
          <w:color w:val="1F497D"/>
        </w:rPr>
      </w:pPr>
      <w:r>
        <w:t xml:space="preserve">An overview of the annexes to </w:t>
      </w:r>
      <w:r w:rsidR="00B50DED">
        <w:t>grant</w:t>
      </w:r>
      <w:r>
        <w:t xml:space="preserve"> applications is provided in the Rules for Applicants and Beneficiaries – Specific Section, Chapter 18. The latest versions of model annexes to </w:t>
      </w:r>
      <w:r w:rsidR="00B50DED">
        <w:t>grant</w:t>
      </w:r>
      <w:r>
        <w:t xml:space="preserve"> applications are always available on the websites of announced calls (</w:t>
      </w:r>
      <w:hyperlink r:id="rId13">
        <w:r>
          <w:rPr>
            <w:rStyle w:val="Hypertextovodkaz"/>
          </w:rPr>
          <w:t>http://www.msmt.cz/strukturalni-fondy-1/vyhlasene-vyzvy</w:t>
        </w:r>
      </w:hyperlink>
      <w:r>
        <w:t xml:space="preserve">); selected annexes are also available for download in IS KP14+. The Managing Authority may update the model annexes to </w:t>
      </w:r>
      <w:r w:rsidR="00B50DED">
        <w:t>grant</w:t>
      </w:r>
      <w:r>
        <w:t xml:space="preserve"> applications during this </w:t>
      </w:r>
      <w:r w:rsidR="00B50DED">
        <w:t>C</w:t>
      </w:r>
      <w:r>
        <w:t xml:space="preserve">all; such an update does not constitute a change of the </w:t>
      </w:r>
      <w:r w:rsidR="00B50DED">
        <w:t>C</w:t>
      </w:r>
      <w:r>
        <w:t>all.</w:t>
      </w:r>
    </w:p>
    <w:p w14:paraId="64DBA90E" w14:textId="40942613" w:rsidR="009F1912" w:rsidRPr="006106D3" w:rsidRDefault="009F1912" w:rsidP="009F1912">
      <w:pPr>
        <w:pStyle w:val="Nadpis2"/>
      </w:pPr>
      <w:r>
        <w:lastRenderedPageBreak/>
        <w:t>Consultation on</w:t>
      </w:r>
      <w:r w:rsidR="00DB3745">
        <w:t xml:space="preserve"> the P</w:t>
      </w:r>
      <w:r>
        <w:t xml:space="preserve">reparation of </w:t>
      </w:r>
      <w:r w:rsidR="00DB3745">
        <w:t>the Grant A</w:t>
      </w:r>
      <w:r>
        <w:t>pplication</w:t>
      </w:r>
    </w:p>
    <w:p w14:paraId="1D64E290" w14:textId="531FFD0A" w:rsidR="00801470" w:rsidRDefault="00801470" w:rsidP="007526CA">
      <w:pPr>
        <w:pStyle w:val="odrky"/>
        <w:numPr>
          <w:ilvl w:val="0"/>
          <w:numId w:val="0"/>
        </w:numPr>
      </w:pPr>
      <w:r>
        <w:t>Before submitting a</w:t>
      </w:r>
      <w:r w:rsidR="00DB3745">
        <w:t xml:space="preserve"> grant </w:t>
      </w:r>
      <w:r>
        <w:t xml:space="preserve">application, </w:t>
      </w:r>
      <w:r w:rsidR="00DB3745">
        <w:t>A</w:t>
      </w:r>
      <w:r>
        <w:t xml:space="preserve">pplicants may approach representatives of the Managing Authority with partial questions. </w:t>
      </w:r>
    </w:p>
    <w:p w14:paraId="42547725" w14:textId="77777777" w:rsidR="00801470" w:rsidRDefault="00801470" w:rsidP="00801470">
      <w:pPr>
        <w:pStyle w:val="odrky"/>
      </w:pPr>
      <w:r>
        <w:t xml:space="preserve">Consulting E-mail for queries regarding the Call: </w:t>
      </w:r>
      <w:hyperlink r:id="rId14">
        <w:r>
          <w:rPr>
            <w:rStyle w:val="Hypertextovodkaz"/>
          </w:rPr>
          <w:t>dotazyMSCA@msmt.cz</w:t>
        </w:r>
      </w:hyperlink>
    </w:p>
    <w:p w14:paraId="3D6B8F32" w14:textId="261D3605" w:rsidR="00801470" w:rsidRDefault="00DB3745" w:rsidP="00801470">
      <w:pPr>
        <w:pStyle w:val="odrky"/>
      </w:pPr>
      <w:r>
        <w:t>The A</w:t>
      </w:r>
      <w:r w:rsidR="00801470">
        <w:t xml:space="preserve">pplicants may also consult any specific questions with representatives of the Managing Authority in person. 1 personal consultation per applicant (Company ID) of 60 minutes will be provided at maximum. Personal consultations are possible only within the above hours and if pre-arranged using the E-mail above. Consultation must concern only specific questions about the call. The consultation may not concern the correctness of completion of an application for support. </w:t>
      </w:r>
    </w:p>
    <w:p w14:paraId="5E2BDC34" w14:textId="4101AAC3" w:rsidR="00FF6F49" w:rsidRPr="005A0018" w:rsidRDefault="005A0018" w:rsidP="005A0018">
      <w:pPr>
        <w:pStyle w:val="odrky"/>
      </w:pPr>
      <w:r>
        <w:rPr>
          <w:b/>
        </w:rPr>
        <w:t>The dates of seminars for applicants</w:t>
      </w:r>
      <w:r>
        <w:t xml:space="preserve"> will be published on the website at </w:t>
      </w:r>
      <w:hyperlink r:id="rId15">
        <w:r>
          <w:rPr>
            <w:rStyle w:val="Hypertextovodkaz"/>
          </w:rPr>
          <w:t>http://www.msmt.cz/strukturalni-fondy-1/seminare</w:t>
        </w:r>
      </w:hyperlink>
      <w:r>
        <w:t>.</w:t>
      </w:r>
    </w:p>
    <w:p w14:paraId="30292C74" w14:textId="307BB337" w:rsidR="009F1912" w:rsidRPr="0094504B" w:rsidRDefault="00FF6F49" w:rsidP="009F1912">
      <w:pPr>
        <w:pStyle w:val="Nadpis2"/>
      </w:pPr>
      <w:r>
        <w:t>Changes to the Call</w:t>
      </w:r>
    </w:p>
    <w:p w14:paraId="66A7E670" w14:textId="48E2AFD5" w:rsidR="00FF6F49" w:rsidRDefault="00FF6F49" w:rsidP="005A0018">
      <w:r>
        <w:t>The Call and follow-up documentation can be changed, especially where required by legislative amendments or changes to the method</w:t>
      </w:r>
      <w:r w:rsidR="00436A0B">
        <w:t xml:space="preserve">ical </w:t>
      </w:r>
      <w:r>
        <w:t xml:space="preserve">environment. </w:t>
      </w:r>
    </w:p>
    <w:p w14:paraId="524055FD" w14:textId="3B80578B" w:rsidR="00FF6F49" w:rsidRDefault="00FF6F49" w:rsidP="005A0018">
      <w:r>
        <w:t xml:space="preserve">Changes </w:t>
      </w:r>
      <w:r w:rsidR="008A65A2">
        <w:t>of</w:t>
      </w:r>
      <w:r>
        <w:t xml:space="preserve"> the Call will be published on the website of MEYS under the announced Call. Applicants who</w:t>
      </w:r>
      <w:r w:rsidR="00E75170">
        <w:t xml:space="preserve">, at the time of publishing </w:t>
      </w:r>
      <w:r w:rsidR="00E75170" w:rsidRPr="00E75170">
        <w:t xml:space="preserve">of the change </w:t>
      </w:r>
      <w:r w:rsidR="00E75170">
        <w:t>t</w:t>
      </w:r>
      <w:r w:rsidR="00E75170" w:rsidRPr="00E75170">
        <w:t xml:space="preserve">o the </w:t>
      </w:r>
      <w:r w:rsidR="00E75170">
        <w:t>C</w:t>
      </w:r>
      <w:r w:rsidR="00E75170" w:rsidRPr="00E75170">
        <w:t>all,</w:t>
      </w:r>
      <w:r w:rsidR="00E75170">
        <w:rPr>
          <w:rFonts w:ascii="Arial" w:hAnsi="Arial" w:cs="Arial"/>
          <w:color w:val="222222"/>
          <w:lang w:val="en"/>
        </w:rPr>
        <w:t xml:space="preserve"> </w:t>
      </w:r>
      <w:r>
        <w:t xml:space="preserve"> have already created </w:t>
      </w:r>
      <w:r w:rsidR="008A65A2">
        <w:t xml:space="preserve">the grant </w:t>
      </w:r>
      <w:r>
        <w:t xml:space="preserve">application in IS KP14+ will also be informed about the publication of the change to the Call by an internal </w:t>
      </w:r>
      <w:r w:rsidR="008A65A2">
        <w:t>despatch</w:t>
      </w:r>
      <w:r>
        <w:t>.</w:t>
      </w:r>
      <w:r w:rsidR="00E75170">
        <w:t xml:space="preserve"> </w:t>
      </w:r>
      <w:r w:rsidR="00E75170" w:rsidRPr="00E75170">
        <w:t xml:space="preserve">The rules for changing the </w:t>
      </w:r>
      <w:r w:rsidR="00E75170">
        <w:t>C</w:t>
      </w:r>
      <w:r w:rsidR="00E75170" w:rsidRPr="00E75170">
        <w:t xml:space="preserve">all are set out in Chapter 5.1 </w:t>
      </w:r>
      <w:r w:rsidR="00E97BF2">
        <w:t>of the Rules for Applicants and Beneficiaries – General and Specific Section.</w:t>
      </w:r>
    </w:p>
    <w:p w14:paraId="6464E3A1" w14:textId="77777777" w:rsidR="009F1912" w:rsidRPr="006106D3" w:rsidRDefault="009F1912" w:rsidP="006B2F3E">
      <w:pPr>
        <w:pStyle w:val="Nadpis2"/>
        <w:keepLines w:val="0"/>
        <w:spacing w:before="240" w:after="240"/>
      </w:pPr>
      <w:r>
        <w:t>Annexes to the Call:</w:t>
      </w:r>
    </w:p>
    <w:p w14:paraId="633F7851" w14:textId="77777777" w:rsidR="00FF6F49" w:rsidRPr="00EB15B5" w:rsidRDefault="00FF6F49" w:rsidP="005A0018">
      <w:pPr>
        <w:pStyle w:val="odrky"/>
      </w:pPr>
      <w:r>
        <w:t>Annex 1 – Indicators</w:t>
      </w:r>
    </w:p>
    <w:p w14:paraId="14F7A095" w14:textId="1EBF8CB6" w:rsidR="00FF6F49" w:rsidRDefault="00FF6F49" w:rsidP="005A0018">
      <w:pPr>
        <w:pStyle w:val="odrky"/>
      </w:pPr>
      <w:r>
        <w:lastRenderedPageBreak/>
        <w:t xml:space="preserve">Annex 2 – </w:t>
      </w:r>
      <w:r w:rsidR="008A65A2">
        <w:t xml:space="preserve">Evaluation </w:t>
      </w:r>
      <w:r>
        <w:t>Criteria</w:t>
      </w:r>
    </w:p>
    <w:p w14:paraId="1EF4CBD8" w14:textId="67723FDF" w:rsidR="005B03E7" w:rsidRDefault="00705A57" w:rsidP="005A0018">
      <w:pPr>
        <w:pStyle w:val="odrky"/>
      </w:pPr>
      <w:r>
        <w:t>Annex No. 3 Overview of C</w:t>
      </w:r>
      <w:r w:rsidR="005B03E7">
        <w:t>orre</w:t>
      </w:r>
      <w:r w:rsidR="008A65A2">
        <w:t xml:space="preserve">ction </w:t>
      </w:r>
      <w:r>
        <w:t>C</w:t>
      </w:r>
      <w:r w:rsidR="005B03E7">
        <w:t xml:space="preserve">oefficient </w:t>
      </w:r>
      <w:r>
        <w:t>V</w:t>
      </w:r>
      <w:r w:rsidR="005B03E7">
        <w:t>alues</w:t>
      </w:r>
    </w:p>
    <w:p w14:paraId="065DAC65" w14:textId="7C2F7B91" w:rsidR="009F1912" w:rsidRPr="006106D3" w:rsidRDefault="009F1912" w:rsidP="006B2F3E">
      <w:pPr>
        <w:pStyle w:val="Nadpis2"/>
        <w:keepLines w:val="0"/>
        <w:spacing w:before="240" w:after="240"/>
      </w:pPr>
      <w:r>
        <w:t xml:space="preserve">Other </w:t>
      </w:r>
      <w:r w:rsidR="008A65A2">
        <w:t>D</w:t>
      </w:r>
      <w:r>
        <w:t xml:space="preserve">ocuments </w:t>
      </w:r>
      <w:r w:rsidR="008A65A2">
        <w:t>to</w:t>
      </w:r>
      <w:r>
        <w:t xml:space="preserve"> the Call:</w:t>
      </w:r>
    </w:p>
    <w:p w14:paraId="13A7820F" w14:textId="44BEA0D7" w:rsidR="00EC259B" w:rsidRPr="00EC259B" w:rsidRDefault="00EC259B" w:rsidP="00EC259B">
      <w:r>
        <w:t xml:space="preserve">Applicants and </w:t>
      </w:r>
      <w:r w:rsidR="008A65A2">
        <w:t>B</w:t>
      </w:r>
      <w:r>
        <w:t>eneficiaries must comply with additional conditions as listed in the following documents:</w:t>
      </w:r>
    </w:p>
    <w:p w14:paraId="138FD55F" w14:textId="515F4AEF" w:rsidR="009F1912" w:rsidRPr="00FF6F49" w:rsidRDefault="009F1912" w:rsidP="005A0018">
      <w:pPr>
        <w:pStyle w:val="odrky"/>
      </w:pPr>
      <w:r>
        <w:t xml:space="preserve">Rules for Applicants and Beneficiaries – General </w:t>
      </w:r>
      <w:r w:rsidR="008A65A2">
        <w:t>Section</w:t>
      </w:r>
      <w:r>
        <w:t>: available at </w:t>
      </w:r>
      <w:hyperlink r:id="rId16">
        <w:r>
          <w:rPr>
            <w:rStyle w:val="Hypertextovodkaz"/>
          </w:rPr>
          <w:t>http://www.msmt.cz/strukturalni-fondy-1/pravidla-pro-zadatele-a-prijemce</w:t>
        </w:r>
      </w:hyperlink>
      <w:r>
        <w:t xml:space="preserve">  </w:t>
      </w:r>
    </w:p>
    <w:p w14:paraId="42F69159" w14:textId="6CD097F1" w:rsidR="00FB3259" w:rsidRDefault="009F1912" w:rsidP="00FB3259">
      <w:pPr>
        <w:pStyle w:val="odrky"/>
      </w:pPr>
      <w:r>
        <w:t xml:space="preserve">Rules for Applicants and Beneficiaries – Specific </w:t>
      </w:r>
      <w:r w:rsidR="008A65A2">
        <w:t>Section</w:t>
      </w:r>
      <w:r>
        <w:t xml:space="preserve">: available at </w:t>
      </w:r>
      <w:hyperlink r:id="rId17" w:history="1">
        <w:r w:rsidR="00141DB7" w:rsidRPr="001E76CD">
          <w:rPr>
            <w:rStyle w:val="Hypertextovodkaz"/>
          </w:rPr>
          <w:t>http://www.msmt.cz/strukturalni-fondy-1/pravidla-pro-zadatele-a-prijemce-specificka-cast-2018</w:t>
        </w:r>
      </w:hyperlink>
    </w:p>
    <w:p w14:paraId="4967B1D2" w14:textId="1961DB75" w:rsidR="00141DB7" w:rsidRDefault="00EC259B" w:rsidP="00EC259B">
      <w:pPr>
        <w:rPr>
          <w:rStyle w:val="Hypertextovodkaz"/>
        </w:rPr>
      </w:pPr>
      <w:r>
        <w:t>Model legal act on the granting/transfer of aid: available at </w:t>
      </w:r>
      <w:hyperlink r:id="rId18" w:history="1">
        <w:r w:rsidR="00141DB7" w:rsidRPr="001E76CD">
          <w:rPr>
            <w:rStyle w:val="Hypertextovodkaz"/>
          </w:rPr>
          <w:t>http://www.msmt.cz/strukturalni-fondy-1/prehled-vzoru-pravni-akty</w:t>
        </w:r>
      </w:hyperlink>
    </w:p>
    <w:p w14:paraId="0FF95569" w14:textId="2A1D9564" w:rsidR="009F1912" w:rsidRPr="00EC259B" w:rsidRDefault="00EC259B" w:rsidP="00EC259B">
      <w:r>
        <w:t xml:space="preserve"> </w:t>
      </w:r>
    </w:p>
    <w:p w14:paraId="6B4E63F3" w14:textId="7D71D889" w:rsidR="009F1912" w:rsidRPr="006106D3" w:rsidRDefault="00F36B5E" w:rsidP="009F1912">
      <w:pPr>
        <w:pStyle w:val="Nadpis2"/>
      </w:pPr>
      <w:r>
        <w:t>Other P</w:t>
      </w:r>
      <w:r w:rsidR="009F1912">
        <w:t>rovisions</w:t>
      </w:r>
    </w:p>
    <w:p w14:paraId="62FF958F" w14:textId="5531B61D" w:rsidR="006D087D" w:rsidRDefault="006D087D" w:rsidP="006D087D">
      <w:r w:rsidRPr="006D087D">
        <w:t>During the approval process, the Managing Authority applies procedures pursuant to Section 14k (1), (3) and (4) and Section 14p of Act No. 218/2000 Coll., On Budgetary Rules and on Amendments to Certain Related Acts (Budgetary Rules), as amended.</w:t>
      </w:r>
      <w:r>
        <w:t xml:space="preserve"> </w:t>
      </w:r>
      <w:r w:rsidRPr="006D087D">
        <w:t xml:space="preserve">Detailed information is provided </w:t>
      </w:r>
      <w:r>
        <w:t>in the Rules for Applicants and Beneficiaries – General and Specific Section</w:t>
      </w:r>
      <w:r w:rsidR="00D5380A">
        <w:t>:</w:t>
      </w:r>
    </w:p>
    <w:p w14:paraId="7E93568F" w14:textId="3A5BA1D8" w:rsidR="006D087D" w:rsidRDefault="00D5380A" w:rsidP="007500F3">
      <w:r w:rsidRPr="00D5380A">
        <w:t xml:space="preserve">- </w:t>
      </w:r>
      <w:r>
        <w:t>t</w:t>
      </w:r>
      <w:r w:rsidRPr="00D5380A">
        <w:t>he procedures for removing the defects of the aid application are set out in Chapter 5.</w:t>
      </w:r>
      <w:r>
        <w:t>4;</w:t>
      </w:r>
    </w:p>
    <w:p w14:paraId="5D556504" w14:textId="0562A6E9" w:rsidR="00D5380A" w:rsidRDefault="00D5380A" w:rsidP="007500F3">
      <w:r>
        <w:rPr>
          <w:rFonts w:ascii="Arial" w:hAnsi="Arial" w:cs="Arial"/>
          <w:color w:val="222222"/>
          <w:lang w:val="en"/>
        </w:rPr>
        <w:t xml:space="preserve">- </w:t>
      </w:r>
      <w:r w:rsidRPr="00D5380A">
        <w:t>the procedures for documenting the other documents necessary for the legal act on the granting / transfer of aid are set out in Chapter 6.4</w:t>
      </w:r>
      <w:r>
        <w:t>;</w:t>
      </w:r>
    </w:p>
    <w:p w14:paraId="1512A26D" w14:textId="0B79AE5B" w:rsidR="003C131F" w:rsidRDefault="003C131F" w:rsidP="007500F3">
      <w:r>
        <w:rPr>
          <w:rFonts w:ascii="Arial" w:hAnsi="Arial" w:cs="Arial"/>
          <w:color w:val="222222"/>
          <w:lang w:val="en"/>
        </w:rPr>
        <w:lastRenderedPageBreak/>
        <w:t xml:space="preserve">- </w:t>
      </w:r>
      <w:r w:rsidRPr="003C131F">
        <w:t>the procedures for adjusting the grant application, the possibility of formulating reservations and recommendations are given in chapters 5.5 and 6.3;</w:t>
      </w:r>
    </w:p>
    <w:p w14:paraId="148A65D8" w14:textId="5A2CE85A" w:rsidR="004B01C0" w:rsidRDefault="004B01C0" w:rsidP="007500F3">
      <w:r>
        <w:rPr>
          <w:rFonts w:ascii="Arial" w:hAnsi="Arial" w:cs="Arial"/>
          <w:color w:val="222222"/>
          <w:lang w:val="en"/>
        </w:rPr>
        <w:t xml:space="preserve">- </w:t>
      </w:r>
      <w:r w:rsidRPr="004B01C0">
        <w:t xml:space="preserve">The procedures for using the reserve </w:t>
      </w:r>
      <w:r>
        <w:t xml:space="preserve">list </w:t>
      </w:r>
      <w:r w:rsidRPr="004B01C0">
        <w:t xml:space="preserve">of </w:t>
      </w:r>
      <w:r w:rsidR="00AC3D22">
        <w:t>standby</w:t>
      </w:r>
      <w:r w:rsidRPr="004B01C0">
        <w:t xml:space="preserve"> projects are listed in Chapters 2 and 5.4.</w:t>
      </w:r>
    </w:p>
    <w:p w14:paraId="40144EB8" w14:textId="77777777" w:rsidR="004B01C0" w:rsidRDefault="007500F3" w:rsidP="007500F3">
      <w:r>
        <w:t xml:space="preserve">Support is provided through grants. There is no legal entitlement to the </w:t>
      </w:r>
      <w:r w:rsidR="008A65A2">
        <w:t>grant award</w:t>
      </w:r>
      <w:r>
        <w:t xml:space="preserve">. The decision on the final amount of support is made by the Managing Authority. The Managing Authority reserves </w:t>
      </w:r>
      <w:r w:rsidR="00087AF1">
        <w:t xml:space="preserve">the </w:t>
      </w:r>
      <w:r>
        <w:t xml:space="preserve">right to a suspension or early termination of the </w:t>
      </w:r>
      <w:r w:rsidR="00087AF1">
        <w:t>C</w:t>
      </w:r>
      <w:r>
        <w:t xml:space="preserve">all (i.e. due to full absorption of allocated funds). </w:t>
      </w:r>
    </w:p>
    <w:p w14:paraId="755AA4AA" w14:textId="07DA9E2A" w:rsidR="00837D7F" w:rsidRDefault="00837D7F" w:rsidP="007500F3">
      <w:r w:rsidRPr="00837D7F">
        <w:t>If the applicant ceases to exist prior to the date of issuance of the legal act</w:t>
      </w:r>
      <w:r>
        <w:t xml:space="preserve"> </w:t>
      </w:r>
      <w:r w:rsidRPr="00D5380A">
        <w:t>on the granting / transfer of aid</w:t>
      </w:r>
      <w:r w:rsidRPr="00837D7F">
        <w:t xml:space="preserve">, the provider shall lead the procedure for granting / transferring the aid with a legal successor in accordance with Section 14l of Act No. 218/2000 Coll., On Budgetary Rules and on Amendments to Certain Related Acts rules), as amended, if the legal successor </w:t>
      </w:r>
      <w:r w:rsidR="00AC3D22" w:rsidRPr="00837D7F">
        <w:t>fulfils</w:t>
      </w:r>
      <w:r w:rsidRPr="00837D7F">
        <w:t xml:space="preserve"> the conditions for an eligible applicant set out in this </w:t>
      </w:r>
      <w:r>
        <w:t>C</w:t>
      </w:r>
      <w:r w:rsidRPr="00837D7F">
        <w:t>all.</w:t>
      </w:r>
    </w:p>
    <w:p w14:paraId="5602B8DC" w14:textId="68F26016" w:rsidR="007500F3" w:rsidRDefault="005869A0" w:rsidP="007500F3">
      <w:pPr>
        <w:rPr>
          <w:rFonts w:cs="Arial"/>
        </w:rPr>
      </w:pPr>
      <w:r w:rsidRPr="005869A0">
        <w:t>Amount of charge for violation of budget discipline / financial correction</w:t>
      </w:r>
      <w:r w:rsidR="007500F3">
        <w:t xml:space="preserve"> for non-compliance with the conditions of the Call and the Operational Programme will be determined in the legal act on grant</w:t>
      </w:r>
      <w:r w:rsidR="00087AF1">
        <w:t xml:space="preserve"> award of aid</w:t>
      </w:r>
      <w:r w:rsidR="007500F3">
        <w:t>.</w:t>
      </w:r>
    </w:p>
    <w:p w14:paraId="4C6EF481" w14:textId="1A0DD251" w:rsidR="009F1912" w:rsidRDefault="009F1912" w:rsidP="009F1912">
      <w:pPr>
        <w:rPr>
          <w:rFonts w:cs="Arial"/>
        </w:rPr>
      </w:pPr>
    </w:p>
    <w:p w14:paraId="372D26B5" w14:textId="77777777" w:rsidR="009F1912" w:rsidRPr="00597952" w:rsidRDefault="009F1912" w:rsidP="009F1912"/>
    <w:sectPr w:rsidR="009F1912" w:rsidRPr="00597952" w:rsidSect="00890476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8" w:right="1418" w:bottom="1627" w:left="1418" w:header="1134" w:footer="85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A118CF" w16cid:durableId="1D444A7E"/>
  <w16cid:commentId w16cid:paraId="3767B3A6" w16cid:durableId="1D444A80"/>
  <w16cid:commentId w16cid:paraId="72B0AE48" w16cid:durableId="1D444A82"/>
  <w16cid:commentId w16cid:paraId="6AAB2162" w16cid:durableId="1D444A83"/>
  <w16cid:commentId w16cid:paraId="2B2C0EC2" w16cid:durableId="1D444A88"/>
  <w16cid:commentId w16cid:paraId="6E9AACC8" w16cid:durableId="1D444A92"/>
  <w16cid:commentId w16cid:paraId="121F67A2" w16cid:durableId="1D444A93"/>
  <w16cid:commentId w16cid:paraId="707A9F6C" w16cid:durableId="1D444A96"/>
  <w16cid:commentId w16cid:paraId="7170084E" w16cid:durableId="1D444A99"/>
  <w16cid:commentId w16cid:paraId="69704169" w16cid:durableId="1D444A9C"/>
  <w16cid:commentId w16cid:paraId="6F12D6AA" w16cid:durableId="1D444AA6"/>
  <w16cid:commentId w16cid:paraId="65F1BBAE" w16cid:durableId="1D444AA8"/>
  <w16cid:commentId w16cid:paraId="32003F89" w16cid:durableId="1D444AAC"/>
  <w16cid:commentId w16cid:paraId="24CCBD81" w16cid:durableId="1D444AB2"/>
  <w16cid:commentId w16cid:paraId="17C91CA3" w16cid:durableId="1D444A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55AC7" w14:textId="77777777" w:rsidR="001C5993" w:rsidRDefault="001C5993" w:rsidP="003E5669">
      <w:pPr>
        <w:spacing w:line="240" w:lineRule="auto"/>
      </w:pPr>
      <w:r>
        <w:separator/>
      </w:r>
    </w:p>
  </w:endnote>
  <w:endnote w:type="continuationSeparator" w:id="0">
    <w:p w14:paraId="49CA45E1" w14:textId="77777777" w:rsidR="001C5993" w:rsidRDefault="001C5993" w:rsidP="003E5669">
      <w:pPr>
        <w:spacing w:line="240" w:lineRule="auto"/>
      </w:pPr>
      <w:r>
        <w:continuationSeparator/>
      </w:r>
    </w:p>
  </w:endnote>
  <w:endnote w:type="continuationNotice" w:id="1">
    <w:p w14:paraId="25298FDF" w14:textId="77777777" w:rsidR="001C5993" w:rsidRDefault="001C5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775417"/>
      <w:docPartObj>
        <w:docPartGallery w:val="Page Numbers (Bottom of Page)"/>
        <w:docPartUnique/>
      </w:docPartObj>
    </w:sdtPr>
    <w:sdtEndPr/>
    <w:sdtContent>
      <w:p w14:paraId="0FF77E20" w14:textId="2B775D0F" w:rsidR="00407B32" w:rsidRDefault="00407B32" w:rsidP="00890476">
        <w:pPr>
          <w:pStyle w:val="Zpat"/>
          <w:tabs>
            <w:tab w:val="clear" w:pos="9072"/>
            <w:tab w:val="left" w:pos="3700"/>
            <w:tab w:val="right" w:pos="9070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730A8">
          <w:rPr>
            <w:noProof/>
          </w:rPr>
          <w:t>2</w:t>
        </w:r>
        <w:r>
          <w:fldChar w:fldCharType="end"/>
        </w:r>
      </w:p>
    </w:sdtContent>
  </w:sdt>
  <w:p w14:paraId="29E864B6" w14:textId="25A4B18A" w:rsidR="00407B32" w:rsidRDefault="00407B32" w:rsidP="002B23EB">
    <w:pPr>
      <w:pStyle w:val="Zpat"/>
      <w:tabs>
        <w:tab w:val="clear" w:pos="9072"/>
        <w:tab w:val="left" w:pos="3587"/>
      </w:tabs>
    </w:pPr>
    <w:r>
      <w:rPr>
        <w:noProof/>
        <w:lang w:val="cs-CZ" w:eastAsia="cs-CZ" w:bidi="ar-SA"/>
      </w:rPr>
      <w:drawing>
        <wp:anchor distT="0" distB="0" distL="114300" distR="114300" simplePos="0" relativeHeight="251658243" behindDoc="1" locked="1" layoutInCell="1" allowOverlap="0" wp14:anchorId="3A3BB43B" wp14:editId="070DBF92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11370" cy="1022350"/>
          <wp:effectExtent l="0" t="0" r="0" b="6350"/>
          <wp:wrapNone/>
          <wp:docPr id="1" name="Obrázek 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37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219909"/>
      <w:docPartObj>
        <w:docPartGallery w:val="Page Numbers (Bottom of Page)"/>
        <w:docPartUnique/>
      </w:docPartObj>
    </w:sdtPr>
    <w:sdtEndPr/>
    <w:sdtContent>
      <w:p w14:paraId="147D4B6F" w14:textId="0637DCB6" w:rsidR="00407B32" w:rsidRDefault="00407B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0A8">
          <w:rPr>
            <w:noProof/>
          </w:rPr>
          <w:t>1</w:t>
        </w:r>
        <w:r>
          <w:fldChar w:fldCharType="end"/>
        </w:r>
      </w:p>
    </w:sdtContent>
  </w:sdt>
  <w:p w14:paraId="01B85B15" w14:textId="5FEC0C59" w:rsidR="00407B32" w:rsidRDefault="00407B32" w:rsidP="006079F7">
    <w:pPr>
      <w:pStyle w:val="Zpat"/>
      <w:jc w:val="right"/>
    </w:pPr>
    <w:r>
      <w:rPr>
        <w:noProof/>
        <w:lang w:val="cs-CZ" w:eastAsia="cs-CZ" w:bidi="ar-SA"/>
      </w:rPr>
      <w:drawing>
        <wp:anchor distT="0" distB="0" distL="114300" distR="114300" simplePos="0" relativeHeight="251658242" behindDoc="1" locked="1" layoutInCell="1" allowOverlap="0" wp14:anchorId="7DA2892C" wp14:editId="6C45FAB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4661535" cy="1033145"/>
          <wp:effectExtent l="0" t="0" r="5715" b="0"/>
          <wp:wrapNone/>
          <wp:docPr id="11" name="Obrázek 1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F58F5" w14:textId="77777777" w:rsidR="001C5993" w:rsidRDefault="001C5993" w:rsidP="003E5669">
      <w:pPr>
        <w:spacing w:line="240" w:lineRule="auto"/>
      </w:pPr>
      <w:r>
        <w:separator/>
      </w:r>
    </w:p>
  </w:footnote>
  <w:footnote w:type="continuationSeparator" w:id="0">
    <w:p w14:paraId="4A69BE5D" w14:textId="77777777" w:rsidR="001C5993" w:rsidRDefault="001C5993" w:rsidP="003E5669">
      <w:pPr>
        <w:spacing w:line="240" w:lineRule="auto"/>
      </w:pPr>
      <w:r>
        <w:continuationSeparator/>
      </w:r>
    </w:p>
  </w:footnote>
  <w:footnote w:type="continuationNotice" w:id="1">
    <w:p w14:paraId="2FD689B8" w14:textId="77777777" w:rsidR="001C5993" w:rsidRDefault="001C5993">
      <w:pPr>
        <w:spacing w:after="0" w:line="240" w:lineRule="auto"/>
      </w:pPr>
    </w:p>
  </w:footnote>
  <w:footnote w:id="2">
    <w:p w14:paraId="041111A2" w14:textId="1AF96658" w:rsidR="00407B32" w:rsidRDefault="00407B32" w:rsidP="00D43A3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eastAsiaTheme="minorHAnsi" w:hAnsiTheme="minorHAnsi"/>
          <w:color w:val="auto"/>
        </w:rPr>
        <w:t>However, the allocation of the call can be increased by the Managing Authority if required.</w:t>
      </w:r>
    </w:p>
  </w:footnote>
  <w:footnote w:id="3">
    <w:p w14:paraId="707B04D9" w14:textId="265D28F7" w:rsidR="00407B32" w:rsidRDefault="00407B32">
      <w:pPr>
        <w:pStyle w:val="Textpoznpodarou"/>
      </w:pPr>
      <w:r>
        <w:rPr>
          <w:rStyle w:val="Znakapoznpodarou"/>
        </w:rPr>
        <w:footnoteRef/>
      </w:r>
      <w:r>
        <w:t xml:space="preserve"> Communication from the Commission Framework for State Aid for Research, Development and Innovation (2014/C 198/01)</w:t>
      </w:r>
    </w:p>
  </w:footnote>
  <w:footnote w:id="4">
    <w:p w14:paraId="37972B7A" w14:textId="4AFDA24C" w:rsidR="00DD7EF1" w:rsidRPr="00527F9C" w:rsidRDefault="00DD7EF1">
      <w:pPr>
        <w:pStyle w:val="Textpoznpodarou"/>
      </w:pPr>
      <w:r>
        <w:rPr>
          <w:rStyle w:val="Znakapoznpodarou"/>
        </w:rPr>
        <w:footnoteRef/>
      </w:r>
      <w:r>
        <w:t xml:space="preserve"> The g</w:t>
      </w:r>
      <w:r w:rsidRPr="00527F9C">
        <w:t>rant application is an application for a grant under Section 14j of Act No. 218/2000 Coll., On Budgetary Rules and on Amendments to Certain Related Acts (Budgetary Rules), as amended.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6FF7CA68" w:rsidR="00407B32" w:rsidRDefault="00407B32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8241" behindDoc="0" locked="1" layoutInCell="1" allowOverlap="0" wp14:anchorId="1F3C1EA5" wp14:editId="05F1CF29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86AB3" w14:textId="1C9C9396" w:rsidR="00407B32" w:rsidRDefault="00407B32">
    <w:pPr>
      <w:pStyle w:val="Zhlav"/>
    </w:pPr>
    <w:r>
      <w:rPr>
        <w:rFonts w:ascii="Calibri" w:eastAsia="Calibri" w:hAnsi="Calibri" w:cs="Times New Roman"/>
        <w:noProof/>
        <w:lang w:val="cs-CZ" w:eastAsia="cs-CZ" w:bidi="ar-SA"/>
      </w:rPr>
      <w:drawing>
        <wp:anchor distT="0" distB="0" distL="114300" distR="114300" simplePos="0" relativeHeight="251658240" behindDoc="1" locked="1" layoutInCell="1" allowOverlap="0" wp14:anchorId="6E5DFA11" wp14:editId="5BB2EF4C">
          <wp:simplePos x="897467" y="1947333"/>
          <wp:positionH relativeFrom="page">
            <wp:align>center</wp:align>
          </wp:positionH>
          <wp:positionV relativeFrom="topMargin">
            <wp:posOffset>180340</wp:posOffset>
          </wp:positionV>
          <wp:extent cx="7200000" cy="1850400"/>
          <wp:effectExtent l="0" t="0" r="127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743"/>
                  <a:stretch/>
                </pic:blipFill>
                <pic:spPr bwMode="auto">
                  <a:xfrm rot="10800000">
                    <a:off x="0" y="0"/>
                    <a:ext cx="7200000" cy="185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C64"/>
    <w:multiLevelType w:val="hybridMultilevel"/>
    <w:tmpl w:val="355C90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3F29"/>
    <w:multiLevelType w:val="hybridMultilevel"/>
    <w:tmpl w:val="6D280DDC"/>
    <w:lvl w:ilvl="0" w:tplc="9230C1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B0985"/>
    <w:multiLevelType w:val="hybridMultilevel"/>
    <w:tmpl w:val="A7365A5E"/>
    <w:lvl w:ilvl="0" w:tplc="559EE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D1594"/>
    <w:multiLevelType w:val="hybridMultilevel"/>
    <w:tmpl w:val="93E41D34"/>
    <w:lvl w:ilvl="0" w:tplc="5072BE2C">
      <w:start w:val="1"/>
      <w:numFmt w:val="bullet"/>
      <w:pStyle w:val="IND-ODSTAVEC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543522"/>
    <w:multiLevelType w:val="multilevel"/>
    <w:tmpl w:val="CEEA67C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color w:val="7EA2D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4E97B80"/>
    <w:multiLevelType w:val="hybridMultilevel"/>
    <w:tmpl w:val="51A0B872"/>
    <w:lvl w:ilvl="0" w:tplc="559EE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41ED5"/>
    <w:multiLevelType w:val="hybridMultilevel"/>
    <w:tmpl w:val="4D7AACA4"/>
    <w:lvl w:ilvl="0" w:tplc="7B24B7E2">
      <w:start w:val="6"/>
      <w:numFmt w:val="bullet"/>
      <w:pStyle w:val="odrky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F588F"/>
    <w:multiLevelType w:val="hybridMultilevel"/>
    <w:tmpl w:val="3148E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D5E7C"/>
    <w:multiLevelType w:val="hybridMultilevel"/>
    <w:tmpl w:val="B1BAD988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C902621"/>
    <w:multiLevelType w:val="multilevel"/>
    <w:tmpl w:val="C03C420A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CC68F8"/>
    <w:multiLevelType w:val="hybridMultilevel"/>
    <w:tmpl w:val="88443B20"/>
    <w:lvl w:ilvl="0" w:tplc="9230C1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14AF7"/>
    <w:rsid w:val="000262B2"/>
    <w:rsid w:val="00031C82"/>
    <w:rsid w:val="00045BC6"/>
    <w:rsid w:val="00050082"/>
    <w:rsid w:val="000532AC"/>
    <w:rsid w:val="000558F7"/>
    <w:rsid w:val="00065336"/>
    <w:rsid w:val="000847E4"/>
    <w:rsid w:val="00087AF1"/>
    <w:rsid w:val="000A24F0"/>
    <w:rsid w:val="000B30B7"/>
    <w:rsid w:val="000B62E9"/>
    <w:rsid w:val="000C0167"/>
    <w:rsid w:val="000C12A8"/>
    <w:rsid w:val="000C3C86"/>
    <w:rsid w:val="000D3052"/>
    <w:rsid w:val="000D4163"/>
    <w:rsid w:val="000E30BE"/>
    <w:rsid w:val="000F3D7B"/>
    <w:rsid w:val="000F59A7"/>
    <w:rsid w:val="000F787E"/>
    <w:rsid w:val="001146DB"/>
    <w:rsid w:val="00115D90"/>
    <w:rsid w:val="001173F1"/>
    <w:rsid w:val="00127380"/>
    <w:rsid w:val="00141DB7"/>
    <w:rsid w:val="00142316"/>
    <w:rsid w:val="00143B06"/>
    <w:rsid w:val="001562C4"/>
    <w:rsid w:val="001602B0"/>
    <w:rsid w:val="00174F54"/>
    <w:rsid w:val="001819BE"/>
    <w:rsid w:val="0019700F"/>
    <w:rsid w:val="001A358C"/>
    <w:rsid w:val="001A5E39"/>
    <w:rsid w:val="001C09C9"/>
    <w:rsid w:val="001C1BD1"/>
    <w:rsid w:val="001C5993"/>
    <w:rsid w:val="001C6F56"/>
    <w:rsid w:val="001D0818"/>
    <w:rsid w:val="001E64E5"/>
    <w:rsid w:val="00217B53"/>
    <w:rsid w:val="00217BCB"/>
    <w:rsid w:val="00227C23"/>
    <w:rsid w:val="0023740B"/>
    <w:rsid w:val="00246F7D"/>
    <w:rsid w:val="00265236"/>
    <w:rsid w:val="002664A8"/>
    <w:rsid w:val="00272031"/>
    <w:rsid w:val="002749EE"/>
    <w:rsid w:val="002764AD"/>
    <w:rsid w:val="00290173"/>
    <w:rsid w:val="002917BB"/>
    <w:rsid w:val="002964CF"/>
    <w:rsid w:val="002B23EB"/>
    <w:rsid w:val="002B678E"/>
    <w:rsid w:val="002C284B"/>
    <w:rsid w:val="002D2E32"/>
    <w:rsid w:val="002D64DF"/>
    <w:rsid w:val="002E5FCD"/>
    <w:rsid w:val="002F3244"/>
    <w:rsid w:val="003008C2"/>
    <w:rsid w:val="003160AB"/>
    <w:rsid w:val="00321868"/>
    <w:rsid w:val="00334228"/>
    <w:rsid w:val="0033471D"/>
    <w:rsid w:val="00335D83"/>
    <w:rsid w:val="00342283"/>
    <w:rsid w:val="00347907"/>
    <w:rsid w:val="0035384B"/>
    <w:rsid w:val="00360A2F"/>
    <w:rsid w:val="003617F2"/>
    <w:rsid w:val="00366CDA"/>
    <w:rsid w:val="00382DAF"/>
    <w:rsid w:val="003847A8"/>
    <w:rsid w:val="00384ED8"/>
    <w:rsid w:val="003900E6"/>
    <w:rsid w:val="0039247C"/>
    <w:rsid w:val="003A6F43"/>
    <w:rsid w:val="003B2F41"/>
    <w:rsid w:val="003C131F"/>
    <w:rsid w:val="003D6FB8"/>
    <w:rsid w:val="003E3A92"/>
    <w:rsid w:val="003E5669"/>
    <w:rsid w:val="00402DC0"/>
    <w:rsid w:val="00405FBB"/>
    <w:rsid w:val="00407B32"/>
    <w:rsid w:val="00411913"/>
    <w:rsid w:val="00412DF0"/>
    <w:rsid w:val="00427BC6"/>
    <w:rsid w:val="00434522"/>
    <w:rsid w:val="00436A0B"/>
    <w:rsid w:val="00436DF7"/>
    <w:rsid w:val="00437998"/>
    <w:rsid w:val="0046543C"/>
    <w:rsid w:val="00470837"/>
    <w:rsid w:val="00482D5F"/>
    <w:rsid w:val="0048471D"/>
    <w:rsid w:val="004975DE"/>
    <w:rsid w:val="004B01C0"/>
    <w:rsid w:val="004C1E4D"/>
    <w:rsid w:val="004D199E"/>
    <w:rsid w:val="004D1EFD"/>
    <w:rsid w:val="004D6AC5"/>
    <w:rsid w:val="004E4B16"/>
    <w:rsid w:val="004E59E5"/>
    <w:rsid w:val="004F268F"/>
    <w:rsid w:val="0050327B"/>
    <w:rsid w:val="00504DF8"/>
    <w:rsid w:val="00527F9C"/>
    <w:rsid w:val="005434AB"/>
    <w:rsid w:val="00543973"/>
    <w:rsid w:val="00543E43"/>
    <w:rsid w:val="00544FB4"/>
    <w:rsid w:val="005501BB"/>
    <w:rsid w:val="00556FD6"/>
    <w:rsid w:val="005704CD"/>
    <w:rsid w:val="00570CDE"/>
    <w:rsid w:val="00573786"/>
    <w:rsid w:val="005857A3"/>
    <w:rsid w:val="00586984"/>
    <w:rsid w:val="005869A0"/>
    <w:rsid w:val="0059369F"/>
    <w:rsid w:val="005A0018"/>
    <w:rsid w:val="005A6C33"/>
    <w:rsid w:val="005A6F6A"/>
    <w:rsid w:val="005B03E7"/>
    <w:rsid w:val="005C19AA"/>
    <w:rsid w:val="005C2CFA"/>
    <w:rsid w:val="005C5E35"/>
    <w:rsid w:val="005D37E3"/>
    <w:rsid w:val="005E0A6A"/>
    <w:rsid w:val="005E2A78"/>
    <w:rsid w:val="005E4EFC"/>
    <w:rsid w:val="005F0610"/>
    <w:rsid w:val="005F107D"/>
    <w:rsid w:val="005F25CF"/>
    <w:rsid w:val="005F7192"/>
    <w:rsid w:val="006014C0"/>
    <w:rsid w:val="00603522"/>
    <w:rsid w:val="006079F7"/>
    <w:rsid w:val="006106D3"/>
    <w:rsid w:val="00610B48"/>
    <w:rsid w:val="00624AD8"/>
    <w:rsid w:val="006329F3"/>
    <w:rsid w:val="00633B1A"/>
    <w:rsid w:val="00636ACF"/>
    <w:rsid w:val="00643BC6"/>
    <w:rsid w:val="00665DB1"/>
    <w:rsid w:val="0067678B"/>
    <w:rsid w:val="006824A3"/>
    <w:rsid w:val="0069537D"/>
    <w:rsid w:val="006A16BD"/>
    <w:rsid w:val="006A1FFE"/>
    <w:rsid w:val="006A693A"/>
    <w:rsid w:val="006B2F3E"/>
    <w:rsid w:val="006B4236"/>
    <w:rsid w:val="006C0A34"/>
    <w:rsid w:val="006C3AE4"/>
    <w:rsid w:val="006C3E20"/>
    <w:rsid w:val="006C6877"/>
    <w:rsid w:val="006D087D"/>
    <w:rsid w:val="006F77B5"/>
    <w:rsid w:val="00705A57"/>
    <w:rsid w:val="00725268"/>
    <w:rsid w:val="00731C48"/>
    <w:rsid w:val="00735AB8"/>
    <w:rsid w:val="007408A5"/>
    <w:rsid w:val="007500F3"/>
    <w:rsid w:val="007526CA"/>
    <w:rsid w:val="00756909"/>
    <w:rsid w:val="0076300B"/>
    <w:rsid w:val="00770EBC"/>
    <w:rsid w:val="00774F0B"/>
    <w:rsid w:val="007901E5"/>
    <w:rsid w:val="00790F1F"/>
    <w:rsid w:val="00791737"/>
    <w:rsid w:val="00792666"/>
    <w:rsid w:val="007B30E6"/>
    <w:rsid w:val="007C2CCB"/>
    <w:rsid w:val="007C5AA8"/>
    <w:rsid w:val="007C7E48"/>
    <w:rsid w:val="007D1397"/>
    <w:rsid w:val="007D482F"/>
    <w:rsid w:val="007E50BE"/>
    <w:rsid w:val="00801470"/>
    <w:rsid w:val="00801DF6"/>
    <w:rsid w:val="008118CB"/>
    <w:rsid w:val="00816F21"/>
    <w:rsid w:val="008226C7"/>
    <w:rsid w:val="008320C7"/>
    <w:rsid w:val="00837D7F"/>
    <w:rsid w:val="0086249B"/>
    <w:rsid w:val="008675C3"/>
    <w:rsid w:val="00875D29"/>
    <w:rsid w:val="00890476"/>
    <w:rsid w:val="00892F08"/>
    <w:rsid w:val="008A65A2"/>
    <w:rsid w:val="008C6657"/>
    <w:rsid w:val="008D123F"/>
    <w:rsid w:val="008D7982"/>
    <w:rsid w:val="008E6393"/>
    <w:rsid w:val="008E6E4B"/>
    <w:rsid w:val="009275AC"/>
    <w:rsid w:val="009330B0"/>
    <w:rsid w:val="00943212"/>
    <w:rsid w:val="0094504B"/>
    <w:rsid w:val="00946E7A"/>
    <w:rsid w:val="0095469D"/>
    <w:rsid w:val="00956108"/>
    <w:rsid w:val="009649B6"/>
    <w:rsid w:val="0097300A"/>
    <w:rsid w:val="00983F60"/>
    <w:rsid w:val="0098449C"/>
    <w:rsid w:val="00986BF2"/>
    <w:rsid w:val="00994503"/>
    <w:rsid w:val="009A30E7"/>
    <w:rsid w:val="009A3A1E"/>
    <w:rsid w:val="009B0045"/>
    <w:rsid w:val="009B69A2"/>
    <w:rsid w:val="009D1724"/>
    <w:rsid w:val="009F1912"/>
    <w:rsid w:val="009F67FC"/>
    <w:rsid w:val="00A00AA3"/>
    <w:rsid w:val="00A079D2"/>
    <w:rsid w:val="00A23B9B"/>
    <w:rsid w:val="00A2475E"/>
    <w:rsid w:val="00A32B38"/>
    <w:rsid w:val="00A349DD"/>
    <w:rsid w:val="00A36A64"/>
    <w:rsid w:val="00A46F4F"/>
    <w:rsid w:val="00A52E8D"/>
    <w:rsid w:val="00A61B2E"/>
    <w:rsid w:val="00A77153"/>
    <w:rsid w:val="00A84141"/>
    <w:rsid w:val="00A92E86"/>
    <w:rsid w:val="00A95C0F"/>
    <w:rsid w:val="00A970EA"/>
    <w:rsid w:val="00AA5EEC"/>
    <w:rsid w:val="00AC1275"/>
    <w:rsid w:val="00AC3D22"/>
    <w:rsid w:val="00AE6DF0"/>
    <w:rsid w:val="00B0591C"/>
    <w:rsid w:val="00B1759E"/>
    <w:rsid w:val="00B227CE"/>
    <w:rsid w:val="00B25C18"/>
    <w:rsid w:val="00B32E7E"/>
    <w:rsid w:val="00B4339B"/>
    <w:rsid w:val="00B50DED"/>
    <w:rsid w:val="00B56363"/>
    <w:rsid w:val="00B71728"/>
    <w:rsid w:val="00B77F76"/>
    <w:rsid w:val="00B94377"/>
    <w:rsid w:val="00BA4119"/>
    <w:rsid w:val="00BB4EC9"/>
    <w:rsid w:val="00BB7EA5"/>
    <w:rsid w:val="00BC04B4"/>
    <w:rsid w:val="00BC1B4B"/>
    <w:rsid w:val="00BC1D1C"/>
    <w:rsid w:val="00BC268F"/>
    <w:rsid w:val="00BC4E33"/>
    <w:rsid w:val="00BD35DA"/>
    <w:rsid w:val="00BD5D05"/>
    <w:rsid w:val="00BF5913"/>
    <w:rsid w:val="00C02E12"/>
    <w:rsid w:val="00C03D71"/>
    <w:rsid w:val="00C109C6"/>
    <w:rsid w:val="00C3091C"/>
    <w:rsid w:val="00C37E06"/>
    <w:rsid w:val="00C46F61"/>
    <w:rsid w:val="00C5773A"/>
    <w:rsid w:val="00C60A8E"/>
    <w:rsid w:val="00C622AB"/>
    <w:rsid w:val="00C6334D"/>
    <w:rsid w:val="00C651B5"/>
    <w:rsid w:val="00C73E61"/>
    <w:rsid w:val="00C746C0"/>
    <w:rsid w:val="00C7757B"/>
    <w:rsid w:val="00C82FC7"/>
    <w:rsid w:val="00C908BD"/>
    <w:rsid w:val="00C90F1F"/>
    <w:rsid w:val="00C91810"/>
    <w:rsid w:val="00C93823"/>
    <w:rsid w:val="00CA1FF4"/>
    <w:rsid w:val="00CB1032"/>
    <w:rsid w:val="00CB26F9"/>
    <w:rsid w:val="00CC0A46"/>
    <w:rsid w:val="00CE6BBB"/>
    <w:rsid w:val="00CF4B1A"/>
    <w:rsid w:val="00D05F39"/>
    <w:rsid w:val="00D06EA7"/>
    <w:rsid w:val="00D11D3A"/>
    <w:rsid w:val="00D2628B"/>
    <w:rsid w:val="00D33776"/>
    <w:rsid w:val="00D34246"/>
    <w:rsid w:val="00D43A37"/>
    <w:rsid w:val="00D45472"/>
    <w:rsid w:val="00D500F7"/>
    <w:rsid w:val="00D50C49"/>
    <w:rsid w:val="00D52882"/>
    <w:rsid w:val="00D5380A"/>
    <w:rsid w:val="00D546A8"/>
    <w:rsid w:val="00D54704"/>
    <w:rsid w:val="00D54AD4"/>
    <w:rsid w:val="00D5703A"/>
    <w:rsid w:val="00D62669"/>
    <w:rsid w:val="00D63E6F"/>
    <w:rsid w:val="00D730A8"/>
    <w:rsid w:val="00D73186"/>
    <w:rsid w:val="00D778B4"/>
    <w:rsid w:val="00D8165C"/>
    <w:rsid w:val="00D859ED"/>
    <w:rsid w:val="00D97BA4"/>
    <w:rsid w:val="00DA19E3"/>
    <w:rsid w:val="00DA2D9F"/>
    <w:rsid w:val="00DB142E"/>
    <w:rsid w:val="00DB3745"/>
    <w:rsid w:val="00DB59DC"/>
    <w:rsid w:val="00DD7EF1"/>
    <w:rsid w:val="00DE4968"/>
    <w:rsid w:val="00DF2175"/>
    <w:rsid w:val="00E13D42"/>
    <w:rsid w:val="00E15170"/>
    <w:rsid w:val="00E50E10"/>
    <w:rsid w:val="00E535F1"/>
    <w:rsid w:val="00E55854"/>
    <w:rsid w:val="00E704FB"/>
    <w:rsid w:val="00E75170"/>
    <w:rsid w:val="00E97BF2"/>
    <w:rsid w:val="00EA0F44"/>
    <w:rsid w:val="00EA7354"/>
    <w:rsid w:val="00EB15B5"/>
    <w:rsid w:val="00EC259B"/>
    <w:rsid w:val="00ED0DE1"/>
    <w:rsid w:val="00ED2E8C"/>
    <w:rsid w:val="00ED6BED"/>
    <w:rsid w:val="00EE731A"/>
    <w:rsid w:val="00EE7331"/>
    <w:rsid w:val="00EE7A98"/>
    <w:rsid w:val="00EF3E6C"/>
    <w:rsid w:val="00EF6823"/>
    <w:rsid w:val="00EF7F33"/>
    <w:rsid w:val="00F06855"/>
    <w:rsid w:val="00F101A9"/>
    <w:rsid w:val="00F11570"/>
    <w:rsid w:val="00F1766B"/>
    <w:rsid w:val="00F20E1E"/>
    <w:rsid w:val="00F22CBB"/>
    <w:rsid w:val="00F258CE"/>
    <w:rsid w:val="00F311ED"/>
    <w:rsid w:val="00F31701"/>
    <w:rsid w:val="00F36B5E"/>
    <w:rsid w:val="00F37FED"/>
    <w:rsid w:val="00F40B88"/>
    <w:rsid w:val="00F476FD"/>
    <w:rsid w:val="00F55C58"/>
    <w:rsid w:val="00F63005"/>
    <w:rsid w:val="00F735F9"/>
    <w:rsid w:val="00F856C7"/>
    <w:rsid w:val="00F95509"/>
    <w:rsid w:val="00F9632C"/>
    <w:rsid w:val="00FA446E"/>
    <w:rsid w:val="00FB3259"/>
    <w:rsid w:val="00FC313F"/>
    <w:rsid w:val="00FD00FA"/>
    <w:rsid w:val="00FD1099"/>
    <w:rsid w:val="00FD4511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2E417"/>
  <w15:docId w15:val="{360B043E-3A83-4D2A-AE67-98B042E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F33"/>
    <w:pPr>
      <w:spacing w:after="200" w:line="276" w:lineRule="auto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EF7F33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7F33"/>
    <w:pPr>
      <w:keepNext/>
      <w:keepLines/>
      <w:numPr>
        <w:ilvl w:val="1"/>
        <w:numId w:val="1"/>
      </w:numPr>
      <w:spacing w:before="12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aliases w:val="vvv 3 Nadpis"/>
    <w:basedOn w:val="Normln"/>
    <w:next w:val="Normln"/>
    <w:link w:val="Nadpis3Char"/>
    <w:uiPriority w:val="9"/>
    <w:unhideWhenUsed/>
    <w:qFormat/>
    <w:rsid w:val="00EF7F33"/>
    <w:pPr>
      <w:keepNext/>
      <w:keepLines/>
      <w:numPr>
        <w:ilvl w:val="2"/>
        <w:numId w:val="1"/>
      </w:numPr>
      <w:spacing w:before="120"/>
      <w:outlineLvl w:val="2"/>
    </w:pPr>
    <w:rPr>
      <w:rFonts w:eastAsiaTheme="majorEastAsia" w:cstheme="majorBidi"/>
      <w:b/>
      <w:bCs/>
      <w:color w:val="7EA2D1"/>
    </w:rPr>
  </w:style>
  <w:style w:type="paragraph" w:styleId="Nadpis4">
    <w:name w:val="heading 4"/>
    <w:aliases w:val="vvv 4 Nadpis"/>
    <w:basedOn w:val="Normln"/>
    <w:next w:val="Normln"/>
    <w:link w:val="Nadpis4Char"/>
    <w:uiPriority w:val="9"/>
    <w:unhideWhenUsed/>
    <w:qFormat/>
    <w:rsid w:val="00994503"/>
    <w:pPr>
      <w:keepNext/>
      <w:keepLines/>
      <w:numPr>
        <w:ilvl w:val="3"/>
        <w:numId w:val="1"/>
      </w:numPr>
      <w:spacing w:before="40" w:after="40"/>
      <w:outlineLvl w:val="3"/>
    </w:pPr>
    <w:rPr>
      <w:rFonts w:eastAsiaTheme="majorEastAsia" w:cstheme="majorBidi"/>
      <w:i/>
      <w:iCs/>
      <w:color w:val="7EA2D1"/>
    </w:rPr>
  </w:style>
  <w:style w:type="paragraph" w:styleId="Nadpis5">
    <w:name w:val="heading 5"/>
    <w:aliases w:val="vvv 5 Nadpis"/>
    <w:basedOn w:val="Normln"/>
    <w:next w:val="Normln"/>
    <w:link w:val="Nadpis5Char"/>
    <w:uiPriority w:val="9"/>
    <w:semiHidden/>
    <w:unhideWhenUsed/>
    <w:qFormat/>
    <w:rsid w:val="00366CDA"/>
    <w:pPr>
      <w:keepNext/>
      <w:keepLines/>
      <w:numPr>
        <w:ilvl w:val="4"/>
        <w:numId w:val="1"/>
      </w:numPr>
      <w:spacing w:before="40" w:after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9382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382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9382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382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F7F33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aliases w:val="vvv 3 Nadpis Char"/>
    <w:basedOn w:val="Standardnpsmoodstavce"/>
    <w:link w:val="Nadpis3"/>
    <w:uiPriority w:val="9"/>
    <w:rsid w:val="00EF7F33"/>
    <w:rPr>
      <w:rFonts w:eastAsiaTheme="majorEastAsia" w:cstheme="majorBidi"/>
      <w:b/>
      <w:bCs/>
      <w:color w:val="7EA2D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ázev výzvy,Nad,Odstavec_muj,Název grafu,nad 1,Odstavec se seznamem1"/>
    <w:basedOn w:val="Normln"/>
    <w:link w:val="OdstavecseseznamemChar"/>
    <w:uiPriority w:val="34"/>
    <w:qFormat/>
    <w:rsid w:val="000262B2"/>
    <w:pPr>
      <w:jc w:val="center"/>
    </w:pPr>
    <w:rPr>
      <w:b/>
      <w:color w:val="0033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F7F33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F311E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rsid w:val="00F311ED"/>
    <w:pPr>
      <w:spacing w:after="0" w:line="240" w:lineRule="auto"/>
    </w:pPr>
    <w:rPr>
      <w:rFonts w:ascii="Arial" w:hAnsi="Arial"/>
    </w:rPr>
  </w:style>
  <w:style w:type="character" w:customStyle="1" w:styleId="Nadpis4Char">
    <w:name w:val="Nadpis 4 Char"/>
    <w:aliases w:val="vvv 4 Nadpis Char"/>
    <w:basedOn w:val="Standardnpsmoodstavce"/>
    <w:link w:val="Nadpis4"/>
    <w:uiPriority w:val="9"/>
    <w:rsid w:val="00994503"/>
    <w:rPr>
      <w:rFonts w:eastAsiaTheme="majorEastAsia" w:cstheme="majorBidi"/>
      <w:i/>
      <w:iCs/>
      <w:color w:val="7EA2D1"/>
    </w:rPr>
  </w:style>
  <w:style w:type="character" w:customStyle="1" w:styleId="Nadpis5Char">
    <w:name w:val="Nadpis 5 Char"/>
    <w:aliases w:val="vvv 5 Nadpis Char"/>
    <w:basedOn w:val="Standardnpsmoodstavce"/>
    <w:link w:val="Nadpis5"/>
    <w:uiPriority w:val="9"/>
    <w:semiHidden/>
    <w:rsid w:val="00366CDA"/>
    <w:rPr>
      <w:rFonts w:eastAsiaTheme="majorEastAsia" w:cstheme="majorBidi"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938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38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938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38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Ptexta">
    <w:name w:val="MP_text a)"/>
    <w:basedOn w:val="Normln"/>
    <w:link w:val="MPtextaChar"/>
    <w:rsid w:val="007B30E6"/>
    <w:pPr>
      <w:spacing w:after="120" w:line="312" w:lineRule="auto"/>
    </w:pPr>
    <w:rPr>
      <w:rFonts w:eastAsia="Times New Roman" w:cs="Times New Roman"/>
      <w:sz w:val="20"/>
      <w:szCs w:val="20"/>
    </w:rPr>
  </w:style>
  <w:style w:type="character" w:customStyle="1" w:styleId="MPtextaChar">
    <w:name w:val="MP_text a) Char"/>
    <w:link w:val="MPtexta"/>
    <w:rsid w:val="007B30E6"/>
    <w:rPr>
      <w:rFonts w:ascii="Arial" w:eastAsia="Times New Roman" w:hAnsi="Arial" w:cs="Times New Roman"/>
      <w:sz w:val="20"/>
      <w:szCs w:val="20"/>
      <w:lang w:bidi="en-GB"/>
    </w:rPr>
  </w:style>
  <w:style w:type="paragraph" w:customStyle="1" w:styleId="StylNormlndkovnjednoduch">
    <w:name w:val="Styl Norm‡ln’ + Řádkování:  jednoduché"/>
    <w:basedOn w:val="Normln"/>
    <w:rsid w:val="007B30E6"/>
    <w:pPr>
      <w:widowControl w:val="0"/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uiPriority w:val="99"/>
    <w:rsid w:val="000B30B7"/>
    <w:pPr>
      <w:spacing w:line="240" w:lineRule="auto"/>
    </w:pPr>
    <w:rPr>
      <w:rFonts w:ascii="Trebuchet MS" w:eastAsia="Times New Roman" w:hAnsi="Trebuchet MS" w:cs="Times New Roman"/>
      <w:sz w:val="18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0B30B7"/>
    <w:rPr>
      <w:rFonts w:ascii="Trebuchet MS" w:eastAsia="Times New Roman" w:hAnsi="Trebuchet MS" w:cs="Times New Roman"/>
      <w:sz w:val="18"/>
      <w:szCs w:val="20"/>
      <w:lang w:eastAsia="en-GB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0B30B7"/>
    <w:rPr>
      <w:vertAlign w:val="superscript"/>
    </w:rPr>
  </w:style>
  <w:style w:type="paragraph" w:customStyle="1" w:styleId="MPtextodr">
    <w:name w:val="MP_text_odr"/>
    <w:basedOn w:val="Normln"/>
    <w:link w:val="MPtextodrChar"/>
    <w:qFormat/>
    <w:rsid w:val="000B30B7"/>
    <w:pPr>
      <w:numPr>
        <w:numId w:val="2"/>
      </w:numPr>
      <w:spacing w:after="120" w:line="312" w:lineRule="auto"/>
    </w:pPr>
    <w:rPr>
      <w:rFonts w:eastAsia="Times New Roman" w:cs="Arial"/>
      <w:sz w:val="20"/>
      <w:szCs w:val="20"/>
    </w:rPr>
  </w:style>
  <w:style w:type="character" w:customStyle="1" w:styleId="MPtextodrChar">
    <w:name w:val="MP_text_odr Char"/>
    <w:link w:val="MPtextodr"/>
    <w:rsid w:val="000B30B7"/>
    <w:rPr>
      <w:rFonts w:eastAsia="Times New Roman" w:cs="Arial"/>
      <w:color w:val="000000" w:themeColor="text1"/>
      <w:sz w:val="20"/>
      <w:szCs w:val="20"/>
      <w:lang w:bidi="en-GB"/>
    </w:rPr>
  </w:style>
  <w:style w:type="paragraph" w:customStyle="1" w:styleId="Nadpis10">
    <w:name w:val="Nadpis1"/>
    <w:basedOn w:val="Normln"/>
    <w:next w:val="Normln"/>
    <w:link w:val="Nadpis1Char0"/>
    <w:rsid w:val="000B30B7"/>
    <w:pPr>
      <w:spacing w:before="240" w:after="240"/>
      <w:ind w:left="357" w:hanging="357"/>
    </w:pPr>
    <w:rPr>
      <w:rFonts w:eastAsia="Times New Roman" w:cs="Times New Roman"/>
      <w:color w:val="003399"/>
      <w:sz w:val="28"/>
      <w:szCs w:val="24"/>
    </w:rPr>
  </w:style>
  <w:style w:type="character" w:customStyle="1" w:styleId="Nadpis1Char0">
    <w:name w:val="Nadpis1 Char"/>
    <w:basedOn w:val="Standardnpsmoodstavce"/>
    <w:link w:val="Nadpis10"/>
    <w:rsid w:val="000B30B7"/>
    <w:rPr>
      <w:rFonts w:ascii="Arial" w:eastAsia="Times New Roman" w:hAnsi="Arial" w:cs="Times New Roman"/>
      <w:color w:val="003399"/>
      <w:sz w:val="28"/>
      <w:szCs w:val="24"/>
      <w:lang w:eastAsia="en-GB"/>
    </w:rPr>
  </w:style>
  <w:style w:type="character" w:customStyle="1" w:styleId="OdstavecseseznamemChar">
    <w:name w:val="Odstavec se seznamem Char"/>
    <w:aliases w:val="název výzvy Char,Nad Char,Odstavec_muj Char,Název grafu Char,nad 1 Char,Odstavec se seznamem1 Char"/>
    <w:link w:val="Odstavecseseznamem"/>
    <w:uiPriority w:val="34"/>
    <w:rsid w:val="000262B2"/>
    <w:rPr>
      <w:b/>
      <w:color w:val="003399"/>
      <w:sz w:val="28"/>
      <w:szCs w:val="28"/>
    </w:rPr>
  </w:style>
  <w:style w:type="paragraph" w:customStyle="1" w:styleId="Default0">
    <w:name w:val="Default"/>
    <w:basedOn w:val="Normln"/>
    <w:rsid w:val="004D199E"/>
    <w:pPr>
      <w:autoSpaceDE w:val="0"/>
      <w:autoSpaceDN w:val="0"/>
      <w:spacing w:line="240" w:lineRule="auto"/>
    </w:pPr>
    <w:rPr>
      <w:rFonts w:ascii="Franklin Gothic Demi Cond" w:hAnsi="Franklin Gothic Demi Cond" w:cs="Times New Roman"/>
      <w:color w:val="000000"/>
      <w:sz w:val="24"/>
      <w:szCs w:val="24"/>
    </w:rPr>
  </w:style>
  <w:style w:type="character" w:customStyle="1" w:styleId="Barevnseznamzvraznn1Char1">
    <w:name w:val="Barevný seznam – zvýraznění 1 Char1"/>
    <w:basedOn w:val="Standardnpsmoodstavce"/>
    <w:link w:val="Barevnseznamzvraznn12"/>
    <w:locked/>
    <w:rsid w:val="004D199E"/>
    <w:rPr>
      <w:rFonts w:ascii="Calibri" w:hAnsi="Calibri" w:cs="Calibri"/>
      <w:color w:val="000000"/>
    </w:rPr>
  </w:style>
  <w:style w:type="paragraph" w:customStyle="1" w:styleId="Barevnseznamzvraznn12">
    <w:name w:val="Barevný seznam – zvýraznění 12"/>
    <w:basedOn w:val="Normln"/>
    <w:link w:val="Barevnseznamzvraznn1Char1"/>
    <w:rsid w:val="004D199E"/>
    <w:pPr>
      <w:ind w:left="720"/>
      <w:contextualSpacing/>
    </w:pPr>
    <w:rPr>
      <w:rFonts w:ascii="Calibri" w:hAnsi="Calibri" w:cs="Calibri"/>
      <w:color w:val="000000"/>
    </w:rPr>
  </w:style>
  <w:style w:type="paragraph" w:customStyle="1" w:styleId="MPtext">
    <w:name w:val="MP_text"/>
    <w:basedOn w:val="Normln"/>
    <w:link w:val="MPtextChar"/>
    <w:rsid w:val="006106D3"/>
    <w:pPr>
      <w:widowControl w:val="0"/>
      <w:adjustRightInd w:val="0"/>
      <w:spacing w:after="120" w:line="312" w:lineRule="auto"/>
      <w:textAlignment w:val="baseline"/>
    </w:pPr>
    <w:rPr>
      <w:rFonts w:eastAsia="Times New Roman" w:cs="Times New Roman"/>
      <w:sz w:val="20"/>
      <w:szCs w:val="20"/>
    </w:rPr>
  </w:style>
  <w:style w:type="character" w:customStyle="1" w:styleId="MPtextChar">
    <w:name w:val="MP_text Char"/>
    <w:link w:val="MPtext"/>
    <w:rsid w:val="006106D3"/>
    <w:rPr>
      <w:rFonts w:ascii="Arial" w:eastAsia="Times New Roman" w:hAnsi="Arial" w:cs="Times New Roman"/>
      <w:sz w:val="20"/>
      <w:szCs w:val="20"/>
      <w:lang w:bidi="en-GB"/>
    </w:rPr>
  </w:style>
  <w:style w:type="paragraph" w:styleId="Nadpisobsahu">
    <w:name w:val="TOC Heading"/>
    <w:basedOn w:val="Nadpis1"/>
    <w:next w:val="Normln"/>
    <w:uiPriority w:val="39"/>
    <w:unhideWhenUsed/>
    <w:rsid w:val="00DB59DC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DB59DC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DB59DC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DB59DC"/>
    <w:pPr>
      <w:spacing w:after="100"/>
      <w:ind w:left="440"/>
    </w:pPr>
  </w:style>
  <w:style w:type="paragraph" w:customStyle="1" w:styleId="Stylpoznpodarou">
    <w:name w:val="Styl pozn pod čarou"/>
    <w:basedOn w:val="Textpoznpodarou"/>
    <w:link w:val="StylpoznpodarouChar"/>
    <w:qFormat/>
    <w:rsid w:val="00EF7F33"/>
    <w:rPr>
      <w:rFonts w:asciiTheme="minorHAnsi" w:eastAsiaTheme="majorEastAsia" w:hAnsiTheme="minorHAnsi" w:cs="Arial"/>
    </w:rPr>
  </w:style>
  <w:style w:type="character" w:customStyle="1" w:styleId="StylpoznpodarouChar">
    <w:name w:val="Styl pozn pod čarou Char"/>
    <w:basedOn w:val="TextpoznpodarouChar"/>
    <w:link w:val="Stylpoznpodarou"/>
    <w:rsid w:val="00EF7F33"/>
    <w:rPr>
      <w:rFonts w:ascii="Trebuchet MS" w:eastAsiaTheme="majorEastAsia" w:hAnsi="Trebuchet MS" w:cs="Arial"/>
      <w:color w:val="000000" w:themeColor="text1"/>
      <w:sz w:val="18"/>
      <w:szCs w:val="20"/>
      <w:lang w:eastAsia="en-GB"/>
    </w:rPr>
  </w:style>
  <w:style w:type="numbering" w:customStyle="1" w:styleId="Styl3">
    <w:name w:val="Styl3"/>
    <w:rsid w:val="006B2F3E"/>
    <w:pPr>
      <w:numPr>
        <w:numId w:val="5"/>
      </w:numPr>
    </w:pPr>
  </w:style>
  <w:style w:type="paragraph" w:customStyle="1" w:styleId="IND-ODSTAVEC">
    <w:name w:val="IND - ODSTAVEC"/>
    <w:basedOn w:val="Normln"/>
    <w:uiPriority w:val="99"/>
    <w:rsid w:val="006B2F3E"/>
    <w:pPr>
      <w:widowControl w:val="0"/>
      <w:numPr>
        <w:numId w:val="6"/>
      </w:numPr>
      <w:tabs>
        <w:tab w:val="num" w:pos="720"/>
        <w:tab w:val="num" w:pos="3835"/>
      </w:tabs>
      <w:adjustRightInd w:val="0"/>
      <w:spacing w:before="60" w:after="140" w:line="360" w:lineRule="atLeast"/>
      <w:ind w:left="3835" w:hanging="432"/>
      <w:textAlignment w:val="baseline"/>
    </w:pPr>
    <w:rPr>
      <w:rFonts w:ascii="Calibri" w:eastAsia="Times New Roman" w:hAnsi="Calibri" w:cs="Calibri"/>
      <w:color w:val="auto"/>
      <w:szCs w:val="24"/>
    </w:rPr>
  </w:style>
  <w:style w:type="paragraph" w:styleId="Revize">
    <w:name w:val="Revision"/>
    <w:hidden/>
    <w:uiPriority w:val="99"/>
    <w:semiHidden/>
    <w:rsid w:val="00EB15B5"/>
    <w:pPr>
      <w:spacing w:after="0" w:line="240" w:lineRule="auto"/>
    </w:pPr>
    <w:rPr>
      <w:color w:val="000000" w:themeColor="text1"/>
    </w:rPr>
  </w:style>
  <w:style w:type="paragraph" w:customStyle="1" w:styleId="odrky">
    <w:name w:val="odrážky"/>
    <w:basedOn w:val="Odstavecseseznamem"/>
    <w:link w:val="odrkyChar"/>
    <w:qFormat/>
    <w:rsid w:val="00D54AD4"/>
    <w:pPr>
      <w:numPr>
        <w:numId w:val="7"/>
      </w:numPr>
      <w:spacing w:after="120"/>
      <w:jc w:val="both"/>
    </w:pPr>
    <w:rPr>
      <w:rFonts w:cstheme="minorHAnsi"/>
      <w:b w:val="0"/>
      <w:color w:val="auto"/>
      <w:sz w:val="22"/>
      <w:szCs w:val="22"/>
    </w:rPr>
  </w:style>
  <w:style w:type="character" w:customStyle="1" w:styleId="odrkyChar">
    <w:name w:val="odrážky Char"/>
    <w:basedOn w:val="OdstavecseseznamemChar"/>
    <w:link w:val="odrky"/>
    <w:rsid w:val="00D54AD4"/>
    <w:rPr>
      <w:rFonts w:cstheme="minorHAnsi"/>
      <w:b w:val="0"/>
      <w:color w:val="003399"/>
      <w:sz w:val="28"/>
      <w:szCs w:val="28"/>
    </w:rPr>
  </w:style>
  <w:style w:type="character" w:customStyle="1" w:styleId="shorttext">
    <w:name w:val="short_text"/>
    <w:basedOn w:val="Standardnpsmoodstavce"/>
    <w:rsid w:val="0033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smt.cz/strukturalni-fondy-1/vyhlasene-vyzvy" TargetMode="External"/><Relationship Id="rId18" Type="http://schemas.openxmlformats.org/officeDocument/2006/relationships/hyperlink" Target="http://www.msmt.cz/strukturalni-fondy-1/prehled-vzoru-pravni-akt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mseu.mssf.cz/index.aspx" TargetMode="External"/><Relationship Id="rId17" Type="http://schemas.openxmlformats.org/officeDocument/2006/relationships/hyperlink" Target="http://www.msmt.cz/strukturalni-fondy-1/pravidla-pro-zadatele-a-prijemce-specificka-cast-20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smt.cz/strukturalni-fondy-1/pravidla-pro-zadatele-a-prijem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msmt.cz/strukturalni-fondy-1/seminare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otazyMSCA@msmt.cz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15OPMSMT0001-28-85420</_dlc_DocId>
    <_dlc_DocIdUrl xmlns="0104a4cd-1400-468e-be1b-c7aad71d7d5a">
      <Url>http://op.msmt.cz/_layouts/15/DocIdRedir.aspx?ID=15OPMSMT0001-28-85420</Url>
      <Description>15OPMSMT0001-28-85420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purl.org/dc/terms/"/>
    <ds:schemaRef ds:uri="http://schemas.microsoft.com/office/2006/documentManagement/types"/>
    <ds:schemaRef ds:uri="http://www.w3.org/XML/1998/namespace"/>
    <ds:schemaRef ds:uri="0104a4cd-1400-468e-be1b-c7aad71d7d5a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D7CA45D-3A66-4332-ADBF-01C54083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37CC16-689E-4578-8434-081A56D7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2462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Janoušek Petr</cp:lastModifiedBy>
  <cp:revision>2</cp:revision>
  <cp:lastPrinted>2017-10-24T08:14:00Z</cp:lastPrinted>
  <dcterms:created xsi:type="dcterms:W3CDTF">2018-04-19T12:57:00Z</dcterms:created>
  <dcterms:modified xsi:type="dcterms:W3CDTF">2018-04-19T12:57:00Z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022462c3-6c84-4e37-a3f1-a5609c3ff815</vt:lpwstr>
  </property>
  <property fmtid="{D5CDD505-2E9C-101B-9397-08002B2CF9AE}" pid="4" name="Komentář">
    <vt:lpwstr>předepsané písmo Calibri</vt:lpwstr>
  </property>
</Properties>
</file>