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B7" w:rsidRPr="00B13FDC" w:rsidRDefault="00E751B7" w:rsidP="00E751B7">
      <w:pPr>
        <w:spacing w:before="120"/>
        <w:jc w:val="center"/>
        <w:rPr>
          <w:rFonts w:eastAsia="Times New Roman" w:cstheme="minorHAnsi"/>
          <w:b/>
          <w:sz w:val="32"/>
          <w:szCs w:val="32"/>
          <w:lang w:eastAsia="cs-CZ"/>
        </w:rPr>
      </w:pPr>
      <w:r w:rsidRPr="00B13FDC">
        <w:rPr>
          <w:rFonts w:eastAsia="Times New Roman" w:cstheme="minorHAnsi"/>
          <w:b/>
          <w:sz w:val="32"/>
          <w:szCs w:val="32"/>
          <w:lang w:eastAsia="cs-CZ"/>
        </w:rPr>
        <w:t>III.</w:t>
      </w:r>
    </w:p>
    <w:p w:rsidR="00E751B7" w:rsidRPr="00B13FDC" w:rsidRDefault="00E751B7" w:rsidP="00E751B7">
      <w:pPr>
        <w:spacing w:before="120"/>
        <w:jc w:val="center"/>
        <w:rPr>
          <w:rFonts w:eastAsia="Times New Roman" w:cstheme="minorHAnsi"/>
          <w:b/>
          <w:sz w:val="44"/>
          <w:szCs w:val="44"/>
          <w:lang w:eastAsia="cs-CZ"/>
        </w:rPr>
      </w:pPr>
      <w:r w:rsidRPr="00B13FDC">
        <w:rPr>
          <w:rFonts w:eastAsia="Times New Roman" w:cstheme="minorHAnsi"/>
          <w:b/>
          <w:sz w:val="44"/>
          <w:szCs w:val="44"/>
          <w:lang w:eastAsia="cs-CZ"/>
        </w:rPr>
        <w:t>Průběžné hodnocení implementace</w:t>
      </w:r>
    </w:p>
    <w:p w:rsidR="00E751B7" w:rsidRPr="00B13FDC" w:rsidRDefault="00E751B7" w:rsidP="00E751B7">
      <w:pPr>
        <w:spacing w:before="120"/>
        <w:jc w:val="center"/>
        <w:rPr>
          <w:rFonts w:eastAsia="Times New Roman" w:cstheme="minorHAnsi"/>
          <w:b/>
          <w:sz w:val="36"/>
          <w:szCs w:val="36"/>
          <w:lang w:eastAsia="cs-CZ"/>
        </w:rPr>
      </w:pPr>
      <w:r w:rsidRPr="00B13FDC">
        <w:rPr>
          <w:rFonts w:eastAsia="Times New Roman" w:cstheme="minorHAnsi"/>
          <w:b/>
          <w:sz w:val="44"/>
          <w:szCs w:val="44"/>
          <w:lang w:eastAsia="cs-CZ"/>
        </w:rPr>
        <w:t>Strategie digitálního vzdělávání do roku 2020</w:t>
      </w:r>
    </w:p>
    <w:p w:rsidR="00E751B7" w:rsidRPr="00B13FDC" w:rsidRDefault="005F5B9F" w:rsidP="00E751B7">
      <w:pPr>
        <w:spacing w:before="120"/>
        <w:jc w:val="center"/>
        <w:rPr>
          <w:rFonts w:eastAsia="Times New Roman" w:cstheme="minorHAnsi"/>
          <w:b/>
          <w:sz w:val="44"/>
          <w:szCs w:val="44"/>
          <w:lang w:eastAsia="cs-CZ"/>
        </w:rPr>
      </w:pPr>
      <w:r>
        <w:rPr>
          <w:rFonts w:eastAsia="Times New Roman" w:cstheme="minorHAnsi"/>
          <w:b/>
          <w:sz w:val="44"/>
          <w:szCs w:val="44"/>
          <w:lang w:eastAsia="cs-CZ"/>
        </w:rPr>
        <w:t>(za 1. pololetí 2017</w:t>
      </w:r>
      <w:r w:rsidR="00E751B7" w:rsidRPr="00B13FDC">
        <w:rPr>
          <w:rFonts w:eastAsia="Times New Roman" w:cstheme="minorHAnsi"/>
          <w:b/>
          <w:sz w:val="44"/>
          <w:szCs w:val="44"/>
          <w:lang w:eastAsia="cs-CZ"/>
        </w:rPr>
        <w:t>)</w:t>
      </w:r>
    </w:p>
    <w:p w:rsidR="005B6C4D" w:rsidRPr="005B6C4D" w:rsidRDefault="005B6C4D" w:rsidP="005B6C4D">
      <w:pPr>
        <w:spacing w:before="120"/>
        <w:jc w:val="center"/>
        <w:rPr>
          <w:rFonts w:ascii="Times New Roman" w:eastAsia="Times New Roman" w:hAnsi="Times New Roman"/>
          <w:b/>
          <w:sz w:val="28"/>
          <w:szCs w:val="28"/>
          <w:lang w:eastAsia="cs-CZ"/>
        </w:rPr>
      </w:pPr>
    </w:p>
    <w:p w:rsidR="005A2F59" w:rsidRDefault="005A2F59">
      <w:pPr>
        <w:spacing w:after="160" w:line="259" w:lineRule="auto"/>
        <w:jc w:val="left"/>
        <w:sectPr w:rsidR="005A2F59" w:rsidSect="00232C23">
          <w:headerReference w:type="default" r:id="rId8"/>
          <w:footerReference w:type="default" r:id="rId9"/>
          <w:pgSz w:w="11906" w:h="16838"/>
          <w:pgMar w:top="1417" w:right="1417" w:bottom="1417" w:left="1417" w:header="708" w:footer="708" w:gutter="0"/>
          <w:pgNumType w:start="1"/>
          <w:cols w:space="708"/>
          <w:docGrid w:linePitch="360"/>
        </w:sectPr>
      </w:pPr>
    </w:p>
    <w:sdt>
      <w:sdtPr>
        <w:rPr>
          <w:rFonts w:asciiTheme="minorHAnsi" w:eastAsiaTheme="minorHAnsi" w:hAnsiTheme="minorHAnsi" w:cstheme="minorBidi"/>
          <w:color w:val="auto"/>
          <w:sz w:val="22"/>
          <w:szCs w:val="22"/>
          <w:lang w:eastAsia="en-US"/>
        </w:rPr>
        <w:id w:val="1722483669"/>
        <w:docPartObj>
          <w:docPartGallery w:val="Table of Contents"/>
          <w:docPartUnique/>
        </w:docPartObj>
      </w:sdtPr>
      <w:sdtEndPr>
        <w:rPr>
          <w:b/>
          <w:bCs/>
        </w:rPr>
      </w:sdtEndPr>
      <w:sdtContent>
        <w:p w:rsidR="00235333" w:rsidRPr="00630EE6" w:rsidRDefault="00235333">
          <w:pPr>
            <w:pStyle w:val="Nadpisobsahu"/>
            <w:rPr>
              <w:sz w:val="28"/>
              <w:szCs w:val="28"/>
            </w:rPr>
          </w:pPr>
          <w:r w:rsidRPr="00630EE6">
            <w:rPr>
              <w:sz w:val="28"/>
              <w:szCs w:val="28"/>
            </w:rPr>
            <w:t>Obsah</w:t>
          </w:r>
        </w:p>
        <w:p w:rsidR="00630EE6" w:rsidRPr="00630EE6" w:rsidRDefault="00630EE6" w:rsidP="00630EE6">
          <w:pPr>
            <w:rPr>
              <w:lang w:eastAsia="cs-CZ"/>
            </w:rPr>
          </w:pPr>
        </w:p>
        <w:p w:rsidR="00E93A34" w:rsidRDefault="00235333">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69572101" w:history="1">
            <w:r w:rsidR="00E93A34" w:rsidRPr="006360F5">
              <w:rPr>
                <w:rStyle w:val="Hypertextovodkaz"/>
                <w:noProof/>
              </w:rPr>
              <w:t>O Strategii digitálního vzdělávání do roku 2020</w:t>
            </w:r>
            <w:r w:rsidR="00E93A34">
              <w:rPr>
                <w:noProof/>
                <w:webHidden/>
              </w:rPr>
              <w:tab/>
            </w:r>
            <w:r w:rsidR="00E93A34">
              <w:rPr>
                <w:noProof/>
                <w:webHidden/>
              </w:rPr>
              <w:fldChar w:fldCharType="begin"/>
            </w:r>
            <w:r w:rsidR="00E93A34">
              <w:rPr>
                <w:noProof/>
                <w:webHidden/>
              </w:rPr>
              <w:instrText xml:space="preserve"> PAGEREF _Toc469572101 \h </w:instrText>
            </w:r>
            <w:r w:rsidR="00E93A34">
              <w:rPr>
                <w:noProof/>
                <w:webHidden/>
              </w:rPr>
            </w:r>
            <w:r w:rsidR="00E93A34">
              <w:rPr>
                <w:noProof/>
                <w:webHidden/>
              </w:rPr>
              <w:fldChar w:fldCharType="separate"/>
            </w:r>
            <w:r w:rsidR="00E93A34">
              <w:rPr>
                <w:noProof/>
                <w:webHidden/>
              </w:rPr>
              <w:t>2</w:t>
            </w:r>
            <w:r w:rsidR="00E93A34">
              <w:rPr>
                <w:noProof/>
                <w:webHidden/>
              </w:rPr>
              <w:fldChar w:fldCharType="end"/>
            </w:r>
          </w:hyperlink>
        </w:p>
        <w:p w:rsidR="00E93A34" w:rsidRDefault="0006274F">
          <w:pPr>
            <w:pStyle w:val="Obsah1"/>
            <w:tabs>
              <w:tab w:val="right" w:leader="dot" w:pos="9062"/>
            </w:tabs>
            <w:rPr>
              <w:rFonts w:eastAsiaTheme="minorEastAsia"/>
              <w:noProof/>
              <w:lang w:eastAsia="cs-CZ"/>
            </w:rPr>
          </w:pPr>
          <w:hyperlink w:anchor="_Toc469572102" w:history="1">
            <w:r w:rsidR="00E93A34" w:rsidRPr="006360F5">
              <w:rPr>
                <w:rStyle w:val="Hypertextovodkaz"/>
                <w:noProof/>
              </w:rPr>
              <w:t>Hodnocení postupu realizace a naplňování cílů strategie</w:t>
            </w:r>
            <w:r w:rsidR="00E93A34">
              <w:rPr>
                <w:noProof/>
                <w:webHidden/>
              </w:rPr>
              <w:tab/>
            </w:r>
            <w:r w:rsidR="00E93A34">
              <w:rPr>
                <w:noProof/>
                <w:webHidden/>
              </w:rPr>
              <w:fldChar w:fldCharType="begin"/>
            </w:r>
            <w:r w:rsidR="00E93A34">
              <w:rPr>
                <w:noProof/>
                <w:webHidden/>
              </w:rPr>
              <w:instrText xml:space="preserve"> PAGEREF _Toc469572102 \h </w:instrText>
            </w:r>
            <w:r w:rsidR="00E93A34">
              <w:rPr>
                <w:noProof/>
                <w:webHidden/>
              </w:rPr>
            </w:r>
            <w:r w:rsidR="00E93A34">
              <w:rPr>
                <w:noProof/>
                <w:webHidden/>
              </w:rPr>
              <w:fldChar w:fldCharType="separate"/>
            </w:r>
            <w:r w:rsidR="00E93A34">
              <w:rPr>
                <w:noProof/>
                <w:webHidden/>
              </w:rPr>
              <w:t>3</w:t>
            </w:r>
            <w:r w:rsidR="00E93A34">
              <w:rPr>
                <w:noProof/>
                <w:webHidden/>
              </w:rPr>
              <w:fldChar w:fldCharType="end"/>
            </w:r>
          </w:hyperlink>
        </w:p>
        <w:p w:rsidR="00E93A34" w:rsidRDefault="0006274F">
          <w:pPr>
            <w:pStyle w:val="Obsah1"/>
            <w:tabs>
              <w:tab w:val="right" w:leader="dot" w:pos="9062"/>
            </w:tabs>
            <w:rPr>
              <w:rFonts w:eastAsiaTheme="minorEastAsia"/>
              <w:noProof/>
              <w:lang w:eastAsia="cs-CZ"/>
            </w:rPr>
          </w:pPr>
          <w:hyperlink w:anchor="_Toc469572103" w:history="1">
            <w:r w:rsidR="00E93A34" w:rsidRPr="006360F5">
              <w:rPr>
                <w:rStyle w:val="Hypertextovodkaz"/>
                <w:noProof/>
              </w:rPr>
              <w:t>Stav plnění jednotlivých aktivit strategie a návrhy na jejich úpravy</w:t>
            </w:r>
            <w:r w:rsidR="00E93A34">
              <w:rPr>
                <w:noProof/>
                <w:webHidden/>
              </w:rPr>
              <w:tab/>
            </w:r>
            <w:r w:rsidR="00E93A34">
              <w:rPr>
                <w:noProof/>
                <w:webHidden/>
              </w:rPr>
              <w:fldChar w:fldCharType="begin"/>
            </w:r>
            <w:r w:rsidR="00E93A34">
              <w:rPr>
                <w:noProof/>
                <w:webHidden/>
              </w:rPr>
              <w:instrText xml:space="preserve"> PAGEREF _Toc469572103 \h </w:instrText>
            </w:r>
            <w:r w:rsidR="00E93A34">
              <w:rPr>
                <w:noProof/>
                <w:webHidden/>
              </w:rPr>
            </w:r>
            <w:r w:rsidR="00E93A34">
              <w:rPr>
                <w:noProof/>
                <w:webHidden/>
              </w:rPr>
              <w:fldChar w:fldCharType="separate"/>
            </w:r>
            <w:r w:rsidR="00E93A34">
              <w:rPr>
                <w:noProof/>
                <w:webHidden/>
              </w:rPr>
              <w:t>6</w:t>
            </w:r>
            <w:r w:rsidR="00E93A34">
              <w:rPr>
                <w:noProof/>
                <w:webHidden/>
              </w:rPr>
              <w:fldChar w:fldCharType="end"/>
            </w:r>
          </w:hyperlink>
        </w:p>
        <w:p w:rsidR="00E93A34" w:rsidRDefault="0006274F">
          <w:pPr>
            <w:pStyle w:val="Obsah2"/>
            <w:tabs>
              <w:tab w:val="left" w:pos="660"/>
              <w:tab w:val="right" w:leader="dot" w:pos="9062"/>
            </w:tabs>
            <w:rPr>
              <w:rFonts w:eastAsiaTheme="minorEastAsia"/>
              <w:noProof/>
              <w:lang w:eastAsia="cs-CZ"/>
            </w:rPr>
          </w:pPr>
          <w:hyperlink w:anchor="_Toc469572104" w:history="1">
            <w:r w:rsidR="00E93A34" w:rsidRPr="006360F5">
              <w:rPr>
                <w:rStyle w:val="Hypertextovodkaz"/>
                <w:noProof/>
              </w:rPr>
              <w:t>1.</w:t>
            </w:r>
            <w:r w:rsidR="00E93A34">
              <w:rPr>
                <w:rFonts w:eastAsiaTheme="minorEastAsia"/>
                <w:noProof/>
                <w:lang w:eastAsia="cs-CZ"/>
              </w:rPr>
              <w:tab/>
            </w:r>
            <w:r w:rsidR="00E93A34" w:rsidRPr="006360F5">
              <w:rPr>
                <w:rStyle w:val="Hypertextovodkaz"/>
                <w:noProof/>
              </w:rPr>
              <w:t>Zajistit nediskriminační přístup k digitálním vzdělávacím zdrojům.</w:t>
            </w:r>
            <w:r w:rsidR="00E93A34">
              <w:rPr>
                <w:noProof/>
                <w:webHidden/>
              </w:rPr>
              <w:tab/>
            </w:r>
            <w:r w:rsidR="00E93A34">
              <w:rPr>
                <w:noProof/>
                <w:webHidden/>
              </w:rPr>
              <w:fldChar w:fldCharType="begin"/>
            </w:r>
            <w:r w:rsidR="00E93A34">
              <w:rPr>
                <w:noProof/>
                <w:webHidden/>
              </w:rPr>
              <w:instrText xml:space="preserve"> PAGEREF _Toc469572104 \h </w:instrText>
            </w:r>
            <w:r w:rsidR="00E93A34">
              <w:rPr>
                <w:noProof/>
                <w:webHidden/>
              </w:rPr>
            </w:r>
            <w:r w:rsidR="00E93A34">
              <w:rPr>
                <w:noProof/>
                <w:webHidden/>
              </w:rPr>
              <w:fldChar w:fldCharType="separate"/>
            </w:r>
            <w:r w:rsidR="00E93A34">
              <w:rPr>
                <w:noProof/>
                <w:webHidden/>
              </w:rPr>
              <w:t>7</w:t>
            </w:r>
            <w:r w:rsidR="00E93A34">
              <w:rPr>
                <w:noProof/>
                <w:webHidden/>
              </w:rPr>
              <w:fldChar w:fldCharType="end"/>
            </w:r>
          </w:hyperlink>
        </w:p>
        <w:p w:rsidR="00E93A34" w:rsidRDefault="0006274F">
          <w:pPr>
            <w:pStyle w:val="Obsah2"/>
            <w:tabs>
              <w:tab w:val="left" w:pos="660"/>
              <w:tab w:val="right" w:leader="dot" w:pos="9062"/>
            </w:tabs>
            <w:rPr>
              <w:rFonts w:eastAsiaTheme="minorEastAsia"/>
              <w:noProof/>
              <w:lang w:eastAsia="cs-CZ"/>
            </w:rPr>
          </w:pPr>
          <w:hyperlink w:anchor="_Toc469572105" w:history="1">
            <w:r w:rsidR="00E93A34" w:rsidRPr="006360F5">
              <w:rPr>
                <w:rStyle w:val="Hypertextovodkaz"/>
                <w:noProof/>
              </w:rPr>
              <w:t>2.</w:t>
            </w:r>
            <w:r w:rsidR="00E93A34">
              <w:rPr>
                <w:rFonts w:eastAsiaTheme="minorEastAsia"/>
                <w:noProof/>
                <w:lang w:eastAsia="cs-CZ"/>
              </w:rPr>
              <w:tab/>
            </w:r>
            <w:r w:rsidR="00E93A34" w:rsidRPr="006360F5">
              <w:rPr>
                <w:rStyle w:val="Hypertextovodkaz"/>
                <w:noProof/>
              </w:rPr>
              <w:t>Zajistit podmínky pro rozvoj digitální gramotnosti a informatického myšlení žáků.</w:t>
            </w:r>
            <w:r w:rsidR="00E93A34">
              <w:rPr>
                <w:noProof/>
                <w:webHidden/>
              </w:rPr>
              <w:tab/>
            </w:r>
            <w:r w:rsidR="00E93A34">
              <w:rPr>
                <w:noProof/>
                <w:webHidden/>
              </w:rPr>
              <w:fldChar w:fldCharType="begin"/>
            </w:r>
            <w:r w:rsidR="00E93A34">
              <w:rPr>
                <w:noProof/>
                <w:webHidden/>
              </w:rPr>
              <w:instrText xml:space="preserve"> PAGEREF _Toc469572105 \h </w:instrText>
            </w:r>
            <w:r w:rsidR="00E93A34">
              <w:rPr>
                <w:noProof/>
                <w:webHidden/>
              </w:rPr>
            </w:r>
            <w:r w:rsidR="00E93A34">
              <w:rPr>
                <w:noProof/>
                <w:webHidden/>
              </w:rPr>
              <w:fldChar w:fldCharType="separate"/>
            </w:r>
            <w:r w:rsidR="00E93A34">
              <w:rPr>
                <w:noProof/>
                <w:webHidden/>
              </w:rPr>
              <w:t>9</w:t>
            </w:r>
            <w:r w:rsidR="00E93A34">
              <w:rPr>
                <w:noProof/>
                <w:webHidden/>
              </w:rPr>
              <w:fldChar w:fldCharType="end"/>
            </w:r>
          </w:hyperlink>
        </w:p>
        <w:p w:rsidR="00E93A34" w:rsidRDefault="0006274F">
          <w:pPr>
            <w:pStyle w:val="Obsah2"/>
            <w:tabs>
              <w:tab w:val="left" w:pos="660"/>
              <w:tab w:val="right" w:leader="dot" w:pos="9062"/>
            </w:tabs>
            <w:rPr>
              <w:rFonts w:eastAsiaTheme="minorEastAsia"/>
              <w:noProof/>
              <w:lang w:eastAsia="cs-CZ"/>
            </w:rPr>
          </w:pPr>
          <w:hyperlink w:anchor="_Toc469572106" w:history="1">
            <w:r w:rsidR="00E93A34" w:rsidRPr="006360F5">
              <w:rPr>
                <w:rStyle w:val="Hypertextovodkaz"/>
                <w:noProof/>
              </w:rPr>
              <w:t>3.</w:t>
            </w:r>
            <w:r w:rsidR="00E93A34">
              <w:rPr>
                <w:rFonts w:eastAsiaTheme="minorEastAsia"/>
                <w:noProof/>
                <w:lang w:eastAsia="cs-CZ"/>
              </w:rPr>
              <w:tab/>
            </w:r>
            <w:r w:rsidR="00E93A34" w:rsidRPr="006360F5">
              <w:rPr>
                <w:rStyle w:val="Hypertextovodkaz"/>
                <w:noProof/>
              </w:rPr>
              <w:t>Zajistit podmínky pro rozvoj digitální gramotnosti a informatického myšlení učitelů.</w:t>
            </w:r>
            <w:r w:rsidR="00E93A34">
              <w:rPr>
                <w:noProof/>
                <w:webHidden/>
              </w:rPr>
              <w:tab/>
            </w:r>
            <w:r w:rsidR="00E93A34">
              <w:rPr>
                <w:noProof/>
                <w:webHidden/>
              </w:rPr>
              <w:fldChar w:fldCharType="begin"/>
            </w:r>
            <w:r w:rsidR="00E93A34">
              <w:rPr>
                <w:noProof/>
                <w:webHidden/>
              </w:rPr>
              <w:instrText xml:space="preserve"> PAGEREF _Toc469572106 \h </w:instrText>
            </w:r>
            <w:r w:rsidR="00E93A34">
              <w:rPr>
                <w:noProof/>
                <w:webHidden/>
              </w:rPr>
            </w:r>
            <w:r w:rsidR="00E93A34">
              <w:rPr>
                <w:noProof/>
                <w:webHidden/>
              </w:rPr>
              <w:fldChar w:fldCharType="separate"/>
            </w:r>
            <w:r w:rsidR="00E93A34">
              <w:rPr>
                <w:noProof/>
                <w:webHidden/>
              </w:rPr>
              <w:t>11</w:t>
            </w:r>
            <w:r w:rsidR="00E93A34">
              <w:rPr>
                <w:noProof/>
                <w:webHidden/>
              </w:rPr>
              <w:fldChar w:fldCharType="end"/>
            </w:r>
          </w:hyperlink>
        </w:p>
        <w:p w:rsidR="00E93A34" w:rsidRDefault="0006274F">
          <w:pPr>
            <w:pStyle w:val="Obsah2"/>
            <w:tabs>
              <w:tab w:val="left" w:pos="660"/>
              <w:tab w:val="right" w:leader="dot" w:pos="9062"/>
            </w:tabs>
            <w:rPr>
              <w:rFonts w:eastAsiaTheme="minorEastAsia"/>
              <w:noProof/>
              <w:lang w:eastAsia="cs-CZ"/>
            </w:rPr>
          </w:pPr>
          <w:hyperlink w:anchor="_Toc469572107" w:history="1">
            <w:r w:rsidR="00E93A34" w:rsidRPr="006360F5">
              <w:rPr>
                <w:rStyle w:val="Hypertextovodkaz"/>
                <w:noProof/>
              </w:rPr>
              <w:t>4.</w:t>
            </w:r>
            <w:r w:rsidR="00E93A34">
              <w:rPr>
                <w:rFonts w:eastAsiaTheme="minorEastAsia"/>
                <w:noProof/>
                <w:lang w:eastAsia="cs-CZ"/>
              </w:rPr>
              <w:tab/>
            </w:r>
            <w:r w:rsidR="00E93A34" w:rsidRPr="006360F5">
              <w:rPr>
                <w:rStyle w:val="Hypertextovodkaz"/>
                <w:noProof/>
              </w:rPr>
              <w:t>Zajistit budování a obnovu vzdělávací infrastruktury.</w:t>
            </w:r>
            <w:r w:rsidR="00E93A34">
              <w:rPr>
                <w:noProof/>
                <w:webHidden/>
              </w:rPr>
              <w:tab/>
            </w:r>
            <w:r w:rsidR="00E93A34">
              <w:rPr>
                <w:noProof/>
                <w:webHidden/>
              </w:rPr>
              <w:fldChar w:fldCharType="begin"/>
            </w:r>
            <w:r w:rsidR="00E93A34">
              <w:rPr>
                <w:noProof/>
                <w:webHidden/>
              </w:rPr>
              <w:instrText xml:space="preserve"> PAGEREF _Toc469572107 \h </w:instrText>
            </w:r>
            <w:r w:rsidR="00E93A34">
              <w:rPr>
                <w:noProof/>
                <w:webHidden/>
              </w:rPr>
            </w:r>
            <w:r w:rsidR="00E93A34">
              <w:rPr>
                <w:noProof/>
                <w:webHidden/>
              </w:rPr>
              <w:fldChar w:fldCharType="separate"/>
            </w:r>
            <w:r w:rsidR="00E93A34">
              <w:rPr>
                <w:noProof/>
                <w:webHidden/>
              </w:rPr>
              <w:t>12</w:t>
            </w:r>
            <w:r w:rsidR="00E93A34">
              <w:rPr>
                <w:noProof/>
                <w:webHidden/>
              </w:rPr>
              <w:fldChar w:fldCharType="end"/>
            </w:r>
          </w:hyperlink>
        </w:p>
        <w:p w:rsidR="00E93A34" w:rsidRDefault="0006274F">
          <w:pPr>
            <w:pStyle w:val="Obsah2"/>
            <w:tabs>
              <w:tab w:val="left" w:pos="660"/>
              <w:tab w:val="right" w:leader="dot" w:pos="9062"/>
            </w:tabs>
            <w:rPr>
              <w:rFonts w:eastAsiaTheme="minorEastAsia"/>
              <w:noProof/>
              <w:lang w:eastAsia="cs-CZ"/>
            </w:rPr>
          </w:pPr>
          <w:hyperlink w:anchor="_Toc469572108" w:history="1">
            <w:r w:rsidR="00E93A34" w:rsidRPr="006360F5">
              <w:rPr>
                <w:rStyle w:val="Hypertextovodkaz"/>
                <w:noProof/>
              </w:rPr>
              <w:t>5.</w:t>
            </w:r>
            <w:r w:rsidR="00E93A34">
              <w:rPr>
                <w:rFonts w:eastAsiaTheme="minorEastAsia"/>
                <w:noProof/>
                <w:lang w:eastAsia="cs-CZ"/>
              </w:rPr>
              <w:tab/>
            </w:r>
            <w:r w:rsidR="00E93A34" w:rsidRPr="006360F5">
              <w:rPr>
                <w:rStyle w:val="Hypertextovodkaz"/>
                <w:noProof/>
              </w:rPr>
              <w:t>Podpořit inovační postupy, sledování, hodnocení a šíření jejich výsledků.</w:t>
            </w:r>
            <w:r w:rsidR="00E93A34">
              <w:rPr>
                <w:noProof/>
                <w:webHidden/>
              </w:rPr>
              <w:tab/>
            </w:r>
            <w:r w:rsidR="00E93A34">
              <w:rPr>
                <w:noProof/>
                <w:webHidden/>
              </w:rPr>
              <w:fldChar w:fldCharType="begin"/>
            </w:r>
            <w:r w:rsidR="00E93A34">
              <w:rPr>
                <w:noProof/>
                <w:webHidden/>
              </w:rPr>
              <w:instrText xml:space="preserve"> PAGEREF _Toc469572108 \h </w:instrText>
            </w:r>
            <w:r w:rsidR="00E93A34">
              <w:rPr>
                <w:noProof/>
                <w:webHidden/>
              </w:rPr>
            </w:r>
            <w:r w:rsidR="00E93A34">
              <w:rPr>
                <w:noProof/>
                <w:webHidden/>
              </w:rPr>
              <w:fldChar w:fldCharType="separate"/>
            </w:r>
            <w:r w:rsidR="00E93A34">
              <w:rPr>
                <w:noProof/>
                <w:webHidden/>
              </w:rPr>
              <w:t>14</w:t>
            </w:r>
            <w:r w:rsidR="00E93A34">
              <w:rPr>
                <w:noProof/>
                <w:webHidden/>
              </w:rPr>
              <w:fldChar w:fldCharType="end"/>
            </w:r>
          </w:hyperlink>
        </w:p>
        <w:p w:rsidR="00E93A34" w:rsidRDefault="0006274F">
          <w:pPr>
            <w:pStyle w:val="Obsah2"/>
            <w:tabs>
              <w:tab w:val="left" w:pos="660"/>
              <w:tab w:val="right" w:leader="dot" w:pos="9062"/>
            </w:tabs>
            <w:rPr>
              <w:rFonts w:eastAsiaTheme="minorEastAsia"/>
              <w:noProof/>
              <w:lang w:eastAsia="cs-CZ"/>
            </w:rPr>
          </w:pPr>
          <w:hyperlink w:anchor="_Toc469572109" w:history="1">
            <w:r w:rsidR="00E93A34" w:rsidRPr="006360F5">
              <w:rPr>
                <w:rStyle w:val="Hypertextovodkaz"/>
                <w:noProof/>
              </w:rPr>
              <w:t>6.</w:t>
            </w:r>
            <w:r w:rsidR="00E93A34">
              <w:rPr>
                <w:rFonts w:eastAsiaTheme="minorEastAsia"/>
                <w:noProof/>
                <w:lang w:eastAsia="cs-CZ"/>
              </w:rPr>
              <w:tab/>
            </w:r>
            <w:r w:rsidR="00E93A34" w:rsidRPr="006360F5">
              <w:rPr>
                <w:rStyle w:val="Hypertextovodkaz"/>
                <w:noProof/>
              </w:rPr>
              <w:t>Zajistit systém podporující rozvoj škol v oblasti integrace digitálních technologií do výuky a do života školy.</w:t>
            </w:r>
            <w:r w:rsidR="00E93A34">
              <w:rPr>
                <w:noProof/>
                <w:webHidden/>
              </w:rPr>
              <w:tab/>
            </w:r>
            <w:r w:rsidR="00E93A34">
              <w:rPr>
                <w:noProof/>
                <w:webHidden/>
              </w:rPr>
              <w:fldChar w:fldCharType="begin"/>
            </w:r>
            <w:r w:rsidR="00E93A34">
              <w:rPr>
                <w:noProof/>
                <w:webHidden/>
              </w:rPr>
              <w:instrText xml:space="preserve"> PAGEREF _Toc469572109 \h </w:instrText>
            </w:r>
            <w:r w:rsidR="00E93A34">
              <w:rPr>
                <w:noProof/>
                <w:webHidden/>
              </w:rPr>
            </w:r>
            <w:r w:rsidR="00E93A34">
              <w:rPr>
                <w:noProof/>
                <w:webHidden/>
              </w:rPr>
              <w:fldChar w:fldCharType="separate"/>
            </w:r>
            <w:r w:rsidR="00E93A34">
              <w:rPr>
                <w:noProof/>
                <w:webHidden/>
              </w:rPr>
              <w:t>17</w:t>
            </w:r>
            <w:r w:rsidR="00E93A34">
              <w:rPr>
                <w:noProof/>
                <w:webHidden/>
              </w:rPr>
              <w:fldChar w:fldCharType="end"/>
            </w:r>
          </w:hyperlink>
        </w:p>
        <w:p w:rsidR="00E93A34" w:rsidRDefault="0006274F">
          <w:pPr>
            <w:pStyle w:val="Obsah2"/>
            <w:tabs>
              <w:tab w:val="left" w:pos="660"/>
              <w:tab w:val="right" w:leader="dot" w:pos="9062"/>
            </w:tabs>
            <w:rPr>
              <w:rFonts w:eastAsiaTheme="minorEastAsia"/>
              <w:noProof/>
              <w:lang w:eastAsia="cs-CZ"/>
            </w:rPr>
          </w:pPr>
          <w:hyperlink w:anchor="_Toc469572110" w:history="1">
            <w:r w:rsidR="00E93A34" w:rsidRPr="006360F5">
              <w:rPr>
                <w:rStyle w:val="Hypertextovodkaz"/>
                <w:noProof/>
              </w:rPr>
              <w:t>7.</w:t>
            </w:r>
            <w:r w:rsidR="00E93A34">
              <w:rPr>
                <w:rFonts w:eastAsiaTheme="minorEastAsia"/>
                <w:noProof/>
                <w:lang w:eastAsia="cs-CZ"/>
              </w:rPr>
              <w:tab/>
            </w:r>
            <w:r w:rsidR="00E93A34" w:rsidRPr="006360F5">
              <w:rPr>
                <w:rStyle w:val="Hypertextovodkaz"/>
                <w:noProof/>
              </w:rPr>
              <w:t>Zvýšit porozumění veřejnosti cílům a procesům integrace technologií do vzdělávání.</w:t>
            </w:r>
            <w:r w:rsidR="00E93A34">
              <w:rPr>
                <w:noProof/>
                <w:webHidden/>
              </w:rPr>
              <w:tab/>
            </w:r>
            <w:r w:rsidR="00E93A34">
              <w:rPr>
                <w:noProof/>
                <w:webHidden/>
              </w:rPr>
              <w:fldChar w:fldCharType="begin"/>
            </w:r>
            <w:r w:rsidR="00E93A34">
              <w:rPr>
                <w:noProof/>
                <w:webHidden/>
              </w:rPr>
              <w:instrText xml:space="preserve"> PAGEREF _Toc469572110 \h </w:instrText>
            </w:r>
            <w:r w:rsidR="00E93A34">
              <w:rPr>
                <w:noProof/>
                <w:webHidden/>
              </w:rPr>
            </w:r>
            <w:r w:rsidR="00E93A34">
              <w:rPr>
                <w:noProof/>
                <w:webHidden/>
              </w:rPr>
              <w:fldChar w:fldCharType="separate"/>
            </w:r>
            <w:r w:rsidR="00E93A34">
              <w:rPr>
                <w:noProof/>
                <w:webHidden/>
              </w:rPr>
              <w:t>20</w:t>
            </w:r>
            <w:r w:rsidR="00E93A34">
              <w:rPr>
                <w:noProof/>
                <w:webHidden/>
              </w:rPr>
              <w:fldChar w:fldCharType="end"/>
            </w:r>
          </w:hyperlink>
        </w:p>
        <w:p w:rsidR="00E93A34" w:rsidRDefault="0006274F">
          <w:pPr>
            <w:pStyle w:val="Obsah1"/>
            <w:tabs>
              <w:tab w:val="right" w:leader="dot" w:pos="9062"/>
            </w:tabs>
            <w:rPr>
              <w:rFonts w:eastAsiaTheme="minorEastAsia"/>
              <w:noProof/>
              <w:lang w:eastAsia="cs-CZ"/>
            </w:rPr>
          </w:pPr>
          <w:hyperlink w:anchor="_Toc469572111" w:history="1">
            <w:r w:rsidR="00E93A34" w:rsidRPr="006360F5">
              <w:rPr>
                <w:rStyle w:val="Hypertextovodkaz"/>
                <w:noProof/>
              </w:rPr>
              <w:t>Seznam použitých zkratek:</w:t>
            </w:r>
            <w:r w:rsidR="00E93A34">
              <w:rPr>
                <w:noProof/>
                <w:webHidden/>
              </w:rPr>
              <w:tab/>
            </w:r>
            <w:r w:rsidR="00E93A34">
              <w:rPr>
                <w:noProof/>
                <w:webHidden/>
              </w:rPr>
              <w:fldChar w:fldCharType="begin"/>
            </w:r>
            <w:r w:rsidR="00E93A34">
              <w:rPr>
                <w:noProof/>
                <w:webHidden/>
              </w:rPr>
              <w:instrText xml:space="preserve"> PAGEREF _Toc469572111 \h </w:instrText>
            </w:r>
            <w:r w:rsidR="00E93A34">
              <w:rPr>
                <w:noProof/>
                <w:webHidden/>
              </w:rPr>
            </w:r>
            <w:r w:rsidR="00E93A34">
              <w:rPr>
                <w:noProof/>
                <w:webHidden/>
              </w:rPr>
              <w:fldChar w:fldCharType="separate"/>
            </w:r>
            <w:r w:rsidR="00E93A34">
              <w:rPr>
                <w:noProof/>
                <w:webHidden/>
              </w:rPr>
              <w:t>21</w:t>
            </w:r>
            <w:r w:rsidR="00E93A34">
              <w:rPr>
                <w:noProof/>
                <w:webHidden/>
              </w:rPr>
              <w:fldChar w:fldCharType="end"/>
            </w:r>
          </w:hyperlink>
        </w:p>
        <w:p w:rsidR="00235333" w:rsidRDefault="00235333">
          <w:r>
            <w:rPr>
              <w:b/>
              <w:bCs/>
            </w:rPr>
            <w:fldChar w:fldCharType="end"/>
          </w:r>
        </w:p>
      </w:sdtContent>
    </w:sdt>
    <w:p w:rsidR="00235333" w:rsidRDefault="00235333">
      <w:pPr>
        <w:spacing w:after="160" w:line="259" w:lineRule="auto"/>
        <w:jc w:val="left"/>
      </w:pPr>
      <w:r>
        <w:br w:type="page"/>
      </w:r>
    </w:p>
    <w:p w:rsidR="00DA637F" w:rsidRDefault="00A30575" w:rsidP="00FD352C">
      <w:pPr>
        <w:pStyle w:val="Nadpis1"/>
      </w:pPr>
      <w:bookmarkStart w:id="0" w:name="_Toc469572101"/>
      <w:r>
        <w:lastRenderedPageBreak/>
        <w:t>O Strategii</w:t>
      </w:r>
      <w:r w:rsidR="00DA637F">
        <w:t xml:space="preserve"> digitálního vzdělávání do roku 202</w:t>
      </w:r>
      <w:r w:rsidR="004C5DEC">
        <w:t>0</w:t>
      </w:r>
      <w:bookmarkEnd w:id="0"/>
    </w:p>
    <w:p w:rsidR="00DA637F" w:rsidRDefault="00DC34E6" w:rsidP="00DA637F">
      <w:r>
        <w:t xml:space="preserve">Strategie digitálního vzdělávání </w:t>
      </w:r>
      <w:r w:rsidR="009150E8">
        <w:t xml:space="preserve">do roku 2020 </w:t>
      </w:r>
      <w:r>
        <w:t>(dále jen SDV)</w:t>
      </w:r>
      <w:r w:rsidR="00DA637F">
        <w:t xml:space="preserve"> </w:t>
      </w:r>
      <w:r w:rsidR="003C49E3">
        <w:t xml:space="preserve">rozpracovává priority </w:t>
      </w:r>
      <w:r w:rsidR="003C49E3" w:rsidRPr="003C49E3">
        <w:rPr>
          <w:i/>
        </w:rPr>
        <w:t>Strategie vzdělávací politiky ČR do roku 2020</w:t>
      </w:r>
      <w:r w:rsidR="003C49E3">
        <w:t xml:space="preserve"> pro digitální prostředí. Jejím cílem </w:t>
      </w:r>
      <w:r w:rsidR="00DA637F">
        <w:t xml:space="preserve">je nastavit podmínky a procesy ve vzdělávání, které umožní digitální vzdělávání realizovat. </w:t>
      </w:r>
      <w:r w:rsidR="00DA637F" w:rsidRPr="009150E8">
        <w:rPr>
          <w:b/>
        </w:rPr>
        <w:t>Digitálním vzděláváním</w:t>
      </w:r>
      <w:r w:rsidR="00DA637F">
        <w:t xml:space="preserve"> rozumíme zjednodušeně takové vzdělávání, které reaguje na změny ve společnosti související s rozvojem digitálních technologií a jejich využíváním v nejrůznějších oblastech lidských činností. Zahrnuje jak </w:t>
      </w:r>
      <w:r w:rsidR="00DA637F" w:rsidRPr="009150E8">
        <w:rPr>
          <w:b/>
        </w:rPr>
        <w:t>vzdělávání, které účinně využívá digitální technologie na podporu výuky a učení</w:t>
      </w:r>
      <w:r w:rsidR="00DA637F">
        <w:t xml:space="preserve">, tak </w:t>
      </w:r>
      <w:r w:rsidR="00DA637F" w:rsidRPr="009150E8">
        <w:rPr>
          <w:b/>
        </w:rPr>
        <w:t>vzdělávání, které rozvíjí digitální gramotnost žáků a připravuje je na uplatnění ve společnosti a na trhu práce</w:t>
      </w:r>
      <w:r w:rsidR="00DA637F">
        <w:t>, kde požadavky na znalosti a dovednosti v segmentu informačních technologií stále rostou.</w:t>
      </w:r>
    </w:p>
    <w:p w:rsidR="00DA637F" w:rsidRDefault="003C49E3" w:rsidP="00DA637F">
      <w:r>
        <w:t xml:space="preserve">Na období do roku 2020 </w:t>
      </w:r>
      <w:r w:rsidR="00BF4FAE">
        <w:t xml:space="preserve">SDV </w:t>
      </w:r>
      <w:r>
        <w:t>formuluje tři prioritní cíle</w:t>
      </w:r>
      <w:r w:rsidR="00DA637F">
        <w:t>:</w:t>
      </w:r>
    </w:p>
    <w:p w:rsidR="00DA637F" w:rsidRDefault="00DA637F" w:rsidP="00246A0B">
      <w:pPr>
        <w:pStyle w:val="Odstavecseseznamem"/>
        <w:numPr>
          <w:ilvl w:val="0"/>
          <w:numId w:val="1"/>
        </w:numPr>
        <w:ind w:left="709" w:hanging="349"/>
      </w:pPr>
      <w:r>
        <w:t>otevřít vzdělávání novým metodám a způsobům učení prostřednictvím digitálních technologií,</w:t>
      </w:r>
    </w:p>
    <w:p w:rsidR="00DA637F" w:rsidRDefault="00DA637F" w:rsidP="00246A0B">
      <w:pPr>
        <w:pStyle w:val="Odstavecseseznamem"/>
        <w:numPr>
          <w:ilvl w:val="0"/>
          <w:numId w:val="1"/>
        </w:numPr>
        <w:ind w:left="709" w:hanging="349"/>
      </w:pPr>
      <w:r>
        <w:t>zlepšit kompetence žáků v oblasti práce s informacemi a digitálními technologiemi,</w:t>
      </w:r>
    </w:p>
    <w:p w:rsidR="00DA637F" w:rsidRDefault="00DA637F" w:rsidP="00246A0B">
      <w:pPr>
        <w:pStyle w:val="Odstavecseseznamem"/>
        <w:numPr>
          <w:ilvl w:val="0"/>
          <w:numId w:val="1"/>
        </w:numPr>
        <w:ind w:left="709" w:hanging="349"/>
      </w:pPr>
      <w:r>
        <w:t>rozvíjet informatické myšlení žáků.</w:t>
      </w:r>
    </w:p>
    <w:p w:rsidR="001E11F5" w:rsidRDefault="001E11F5" w:rsidP="001E11F5">
      <w:r>
        <w:t>Intervence směřují do sedmi oblastí:</w:t>
      </w:r>
    </w:p>
    <w:p w:rsidR="00FD352C" w:rsidRDefault="00FD352C" w:rsidP="00246A0B">
      <w:pPr>
        <w:pStyle w:val="Odstavecseseznamem"/>
        <w:numPr>
          <w:ilvl w:val="0"/>
          <w:numId w:val="8"/>
        </w:numPr>
        <w:ind w:left="709"/>
      </w:pPr>
      <w:r>
        <w:t>Zajistit nediskriminační přístup k digitálním vzdělávacím zdrojům.</w:t>
      </w:r>
    </w:p>
    <w:p w:rsidR="00FD352C" w:rsidRDefault="00FD352C" w:rsidP="00246A0B">
      <w:pPr>
        <w:pStyle w:val="Odstavecseseznamem"/>
        <w:numPr>
          <w:ilvl w:val="0"/>
          <w:numId w:val="8"/>
        </w:numPr>
        <w:ind w:left="709"/>
      </w:pPr>
      <w:r>
        <w:t>Zajistit podmínky pro rozvoj digitální gramotnosti a informatického myšlení žáků.</w:t>
      </w:r>
    </w:p>
    <w:p w:rsidR="00FD352C" w:rsidRDefault="00FD352C" w:rsidP="00246A0B">
      <w:pPr>
        <w:pStyle w:val="Odstavecseseznamem"/>
        <w:numPr>
          <w:ilvl w:val="0"/>
          <w:numId w:val="8"/>
        </w:numPr>
        <w:ind w:left="709"/>
      </w:pPr>
      <w:r>
        <w:t>Zajistit podmínky pro rozvoj digitální gramotnosti a informatického myšlení učitelů.</w:t>
      </w:r>
    </w:p>
    <w:p w:rsidR="00FD352C" w:rsidRDefault="00FD352C" w:rsidP="00246A0B">
      <w:pPr>
        <w:pStyle w:val="Odstavecseseznamem"/>
        <w:numPr>
          <w:ilvl w:val="0"/>
          <w:numId w:val="8"/>
        </w:numPr>
        <w:ind w:left="709"/>
      </w:pPr>
      <w:r>
        <w:t>Zajistit budování a obnovu vzdělávací infrastruktury.</w:t>
      </w:r>
    </w:p>
    <w:p w:rsidR="00FD352C" w:rsidRDefault="00FD352C" w:rsidP="00246A0B">
      <w:pPr>
        <w:pStyle w:val="Odstavecseseznamem"/>
        <w:numPr>
          <w:ilvl w:val="0"/>
          <w:numId w:val="8"/>
        </w:numPr>
        <w:ind w:left="709"/>
      </w:pPr>
      <w:r>
        <w:t>Podpořit inovační postupy, sledování, hodnocení a šíření jejich výsledků.</w:t>
      </w:r>
    </w:p>
    <w:p w:rsidR="00FD352C" w:rsidRDefault="00FD352C" w:rsidP="00246A0B">
      <w:pPr>
        <w:pStyle w:val="Odstavecseseznamem"/>
        <w:numPr>
          <w:ilvl w:val="0"/>
          <w:numId w:val="8"/>
        </w:numPr>
        <w:ind w:left="709"/>
      </w:pPr>
      <w:r>
        <w:t>Zajistit systém podporující rozvoj škol v oblasti integrace digitálních technologií do výuky a do života školy.</w:t>
      </w:r>
    </w:p>
    <w:p w:rsidR="00FD352C" w:rsidRDefault="00FD352C" w:rsidP="00246A0B">
      <w:pPr>
        <w:pStyle w:val="Odstavecseseznamem"/>
        <w:numPr>
          <w:ilvl w:val="0"/>
          <w:numId w:val="8"/>
        </w:numPr>
        <w:ind w:left="709"/>
      </w:pPr>
      <w:r>
        <w:t>Zvýšit porozumění veřejnosti cílům a procesům integrace technologií do vzdělávání.</w:t>
      </w:r>
    </w:p>
    <w:p w:rsidR="00544A83" w:rsidRDefault="00BF4FAE" w:rsidP="00557C32">
      <w:r>
        <w:t>SDV s</w:t>
      </w:r>
      <w:r w:rsidR="00930E17">
        <w:t>tanovuje základní předpoklady realizace navrhovaných opatření</w:t>
      </w:r>
      <w:r>
        <w:t>:</w:t>
      </w:r>
    </w:p>
    <w:p w:rsidR="00BF4FAE" w:rsidRDefault="00BF4FAE" w:rsidP="00246A0B">
      <w:pPr>
        <w:pStyle w:val="Odstavecseseznamem"/>
        <w:numPr>
          <w:ilvl w:val="0"/>
          <w:numId w:val="13"/>
        </w:numPr>
        <w:ind w:left="709" w:hanging="349"/>
      </w:pPr>
      <w:r>
        <w:t xml:space="preserve">Stát trvale a </w:t>
      </w:r>
      <w:proofErr w:type="spellStart"/>
      <w:r>
        <w:t>predikovatelně</w:t>
      </w:r>
      <w:proofErr w:type="spellEnd"/>
      <w:r>
        <w:t xml:space="preserve"> financuje školy ze státního rozpočtu. Prostředky mohou školy využívat pro oblast infrastruktury, lidských zdrojů, digitálních zdrojů a profesního rozvoje zaměstnanců.</w:t>
      </w:r>
    </w:p>
    <w:p w:rsidR="00BF4FAE" w:rsidRDefault="00BF4FAE" w:rsidP="00246A0B">
      <w:pPr>
        <w:pStyle w:val="Odstavecseseznamem"/>
        <w:numPr>
          <w:ilvl w:val="0"/>
          <w:numId w:val="13"/>
        </w:numPr>
        <w:ind w:left="709" w:hanging="349"/>
      </w:pPr>
      <w:r>
        <w:t>Při realizaci strategie jsou respektovány kompetence ředitelů škol a školských zařízení při řízení pedagogického procesu, centralizovaná řešení shora nejsou preferována.</w:t>
      </w:r>
    </w:p>
    <w:p w:rsidR="00BF4FAE" w:rsidRDefault="00BF4FAE" w:rsidP="00246A0B">
      <w:pPr>
        <w:pStyle w:val="Odstavecseseznamem"/>
        <w:numPr>
          <w:ilvl w:val="0"/>
          <w:numId w:val="13"/>
        </w:numPr>
        <w:ind w:left="709" w:hanging="349"/>
      </w:pPr>
      <w:r>
        <w:t>Realizace strategie významně zapojuje prostředky evropských fondů, a to zejména na vytváření inovací a podporu transformace vzdělávání.</w:t>
      </w:r>
    </w:p>
    <w:p w:rsidR="00BF4FAE" w:rsidRDefault="00BF4FAE" w:rsidP="00246A0B">
      <w:pPr>
        <w:pStyle w:val="Odstavecseseznamem"/>
        <w:numPr>
          <w:ilvl w:val="0"/>
          <w:numId w:val="13"/>
        </w:numPr>
        <w:ind w:left="709" w:hanging="349"/>
      </w:pPr>
      <w:r>
        <w:t>Strategie je v souladu s postupem vědeckého poznání v pedagogice a psychologii, rozvojem digitálních technologií a děním ve společnosti pravidelně vyhodnocována a aktualizována.</w:t>
      </w:r>
    </w:p>
    <w:p w:rsidR="00BF4FAE" w:rsidRDefault="00BF4FAE" w:rsidP="00246A0B">
      <w:pPr>
        <w:pStyle w:val="Odstavecseseznamem"/>
        <w:numPr>
          <w:ilvl w:val="0"/>
          <w:numId w:val="13"/>
        </w:numPr>
        <w:ind w:left="709" w:hanging="349"/>
      </w:pPr>
      <w:r>
        <w:t xml:space="preserve">Do realizace strategie jsou zapojovány </w:t>
      </w:r>
      <w:r w:rsidR="00C70659">
        <w:t xml:space="preserve">aktivity v oblasti vzdělávání a učení </w:t>
      </w:r>
      <w:r>
        <w:t>veřejné</w:t>
      </w:r>
      <w:r w:rsidR="00C70659">
        <w:t>ho</w:t>
      </w:r>
      <w:r w:rsidR="00E50647">
        <w:t xml:space="preserve"> i </w:t>
      </w:r>
      <w:r>
        <w:t>soukromé</w:t>
      </w:r>
      <w:r w:rsidR="00C70659">
        <w:t>ho</w:t>
      </w:r>
      <w:r w:rsidR="00E50647">
        <w:t xml:space="preserve"> (včetně </w:t>
      </w:r>
      <w:r>
        <w:t>neziskové</w:t>
      </w:r>
      <w:r w:rsidR="00C70659">
        <w:t>ho</w:t>
      </w:r>
      <w:r w:rsidR="00E50647">
        <w:t>)</w:t>
      </w:r>
      <w:r w:rsidR="00C70659">
        <w:t xml:space="preserve"> sektoru</w:t>
      </w:r>
      <w:r>
        <w:t>.</w:t>
      </w:r>
    </w:p>
    <w:p w:rsidR="00930E17" w:rsidRDefault="00BF4FAE" w:rsidP="00246A0B">
      <w:pPr>
        <w:pStyle w:val="Odstavecseseznamem"/>
        <w:numPr>
          <w:ilvl w:val="0"/>
          <w:numId w:val="13"/>
        </w:numPr>
        <w:ind w:left="709" w:hanging="349"/>
      </w:pPr>
      <w:r>
        <w:t>Důraz je kladen na etické a bezpečné využívání digitálních technologií. Zvyšuje se povědomí o autorských právech a zákonech souvisejících s používáním digitálních zdrojů.</w:t>
      </w:r>
    </w:p>
    <w:p w:rsidR="000221C2" w:rsidRDefault="00BF4FAE" w:rsidP="000221C2">
      <w:r>
        <w:t>S</w:t>
      </w:r>
      <w:r w:rsidR="004C5DEC">
        <w:t>DV</w:t>
      </w:r>
      <w:r w:rsidR="000221C2">
        <w:t xml:space="preserve"> nastavuje následující soustavu indikátorů:</w:t>
      </w:r>
    </w:p>
    <w:p w:rsidR="000221C2" w:rsidRDefault="000221C2" w:rsidP="00246A0B">
      <w:pPr>
        <w:pStyle w:val="Odstavecseseznamem"/>
        <w:numPr>
          <w:ilvl w:val="0"/>
          <w:numId w:val="6"/>
        </w:numPr>
      </w:pPr>
      <w:r w:rsidRPr="001473C8">
        <w:rPr>
          <w:b/>
        </w:rPr>
        <w:t>dílčí indikátory úspěchu</w:t>
      </w:r>
      <w:r>
        <w:t xml:space="preserve"> – sledují stav plnění specifických cílů strategie, jsou formulovány pro každou popsanou aktivitu včetně termínu dosažení jejího cíle</w:t>
      </w:r>
    </w:p>
    <w:p w:rsidR="000221C2" w:rsidRDefault="000221C2" w:rsidP="00246A0B">
      <w:pPr>
        <w:pStyle w:val="Odstavecseseznamem"/>
        <w:numPr>
          <w:ilvl w:val="0"/>
          <w:numId w:val="6"/>
        </w:numPr>
      </w:pPr>
      <w:r w:rsidRPr="001473C8">
        <w:rPr>
          <w:b/>
        </w:rPr>
        <w:lastRenderedPageBreak/>
        <w:t>obecné indikátory úspěchu</w:t>
      </w:r>
      <w:r>
        <w:t xml:space="preserve"> – sledují stav plnění prioritních cílů strategie, jejich naplňování je každoročně vyhodnocováno</w:t>
      </w:r>
    </w:p>
    <w:p w:rsidR="000221C2" w:rsidRPr="001473C8" w:rsidRDefault="000221C2" w:rsidP="00246A0B">
      <w:pPr>
        <w:pStyle w:val="Odstavecseseznamem"/>
        <w:numPr>
          <w:ilvl w:val="0"/>
          <w:numId w:val="2"/>
        </w:numPr>
        <w:ind w:left="1068"/>
        <w:rPr>
          <w:b/>
        </w:rPr>
      </w:pPr>
      <w:r w:rsidRPr="001473C8">
        <w:rPr>
          <w:b/>
        </w:rPr>
        <w:t>otevřít vzdělávání novým metodám a způsobům učení prostřednictvím digitálních technologií</w:t>
      </w:r>
    </w:p>
    <w:p w:rsidR="000221C2" w:rsidRDefault="000221C2" w:rsidP="00246A0B">
      <w:pPr>
        <w:pStyle w:val="Odstavecseseznamem"/>
        <w:numPr>
          <w:ilvl w:val="0"/>
          <w:numId w:val="3"/>
        </w:numPr>
        <w:ind w:left="1428"/>
      </w:pPr>
      <w:r>
        <w:t>platforma, resp. program partnerské spolupráce, vykazuje reálné výstupy spolupráce</w:t>
      </w:r>
    </w:p>
    <w:p w:rsidR="000221C2" w:rsidRDefault="000221C2" w:rsidP="00246A0B">
      <w:pPr>
        <w:pStyle w:val="Odstavecseseznamem"/>
        <w:numPr>
          <w:ilvl w:val="0"/>
          <w:numId w:val="3"/>
        </w:numPr>
        <w:ind w:left="1428"/>
      </w:pPr>
      <w:r>
        <w:t>80 % výstupů (např. výukových objektů) z operačního programu OP VVV je opatřeno otevřenou licencí</w:t>
      </w:r>
    </w:p>
    <w:p w:rsidR="000221C2" w:rsidRDefault="000221C2" w:rsidP="00246A0B">
      <w:pPr>
        <w:pStyle w:val="Odstavecseseznamem"/>
        <w:numPr>
          <w:ilvl w:val="0"/>
          <w:numId w:val="3"/>
        </w:numPr>
        <w:ind w:left="1428"/>
      </w:pPr>
      <w:r>
        <w:t xml:space="preserve">zvyšující se počet škol, školských zařízení a veřejných vzdělávacích institucí (knihoven) připojených k širokopásmovému internetu o rychlosti min. 30 </w:t>
      </w:r>
      <w:proofErr w:type="spellStart"/>
      <w:r>
        <w:t>Mbit</w:t>
      </w:r>
      <w:proofErr w:type="spellEnd"/>
      <w:r>
        <w:t>/s (je nutná analýza stavu)</w:t>
      </w:r>
    </w:p>
    <w:p w:rsidR="000221C2" w:rsidRPr="001473C8" w:rsidRDefault="000221C2" w:rsidP="00246A0B">
      <w:pPr>
        <w:pStyle w:val="Odstavecseseznamem"/>
        <w:numPr>
          <w:ilvl w:val="0"/>
          <w:numId w:val="2"/>
        </w:numPr>
        <w:ind w:left="1068"/>
        <w:rPr>
          <w:b/>
        </w:rPr>
      </w:pPr>
      <w:r w:rsidRPr="001473C8">
        <w:rPr>
          <w:b/>
        </w:rPr>
        <w:t>zlepšit kompetence žáků v oblasti práce s informacemi a digitálními technologiemi</w:t>
      </w:r>
    </w:p>
    <w:p w:rsidR="000221C2" w:rsidRDefault="000221C2" w:rsidP="00246A0B">
      <w:pPr>
        <w:pStyle w:val="Odstavecseseznamem"/>
        <w:numPr>
          <w:ilvl w:val="0"/>
          <w:numId w:val="4"/>
        </w:numPr>
        <w:ind w:left="1428"/>
      </w:pPr>
      <w:r>
        <w:t>zlepšující se výsledky mladistvých v mezinárodním výzkumu dospělých PIAAC – dovednosti řešení problémů v prostředí informačních technologií</w:t>
      </w:r>
    </w:p>
    <w:p w:rsidR="000221C2" w:rsidRDefault="000221C2" w:rsidP="00246A0B">
      <w:pPr>
        <w:pStyle w:val="Odstavecseseznamem"/>
        <w:numPr>
          <w:ilvl w:val="0"/>
          <w:numId w:val="4"/>
        </w:numPr>
        <w:ind w:left="1428"/>
      </w:pPr>
      <w:r>
        <w:t>zlepšující se výsledky žáků v šetření podmínek, průběhu a výsledků rozvoje informační gramotnosti (NIQES)</w:t>
      </w:r>
    </w:p>
    <w:p w:rsidR="000221C2" w:rsidRPr="001473C8" w:rsidRDefault="000221C2" w:rsidP="00246A0B">
      <w:pPr>
        <w:pStyle w:val="Odstavecseseznamem"/>
        <w:numPr>
          <w:ilvl w:val="0"/>
          <w:numId w:val="7"/>
        </w:numPr>
        <w:rPr>
          <w:b/>
        </w:rPr>
      </w:pPr>
      <w:r w:rsidRPr="001473C8">
        <w:rPr>
          <w:b/>
        </w:rPr>
        <w:t>rozvíjet informatické myšlení žáků</w:t>
      </w:r>
    </w:p>
    <w:p w:rsidR="000221C2" w:rsidRDefault="000221C2" w:rsidP="00246A0B">
      <w:pPr>
        <w:pStyle w:val="Odstavecseseznamem"/>
        <w:numPr>
          <w:ilvl w:val="0"/>
          <w:numId w:val="5"/>
        </w:numPr>
        <w:ind w:left="1440"/>
      </w:pPr>
      <w:r>
        <w:t>byla zahájena výuka dle aktualizovaných znění vzdělávací oblasti ICT v rámcových vzdělávacích programech</w:t>
      </w:r>
    </w:p>
    <w:p w:rsidR="009E1314" w:rsidRDefault="009E1314" w:rsidP="00506BB6">
      <w:r w:rsidRPr="009E1314">
        <w:t xml:space="preserve">Strategie digitálního vzdělávání do roku 2020 byla přijata vládou 12. listopadu 2014 jako usnesení vlády ČR č. 927/2014. Je dostupná zde: </w:t>
      </w:r>
      <w:hyperlink r:id="rId10" w:history="1">
        <w:r w:rsidRPr="000C77C1">
          <w:rPr>
            <w:rStyle w:val="Hypertextovodkaz"/>
          </w:rPr>
          <w:t>http://www.vzdelavani2020.cz/</w:t>
        </w:r>
      </w:hyperlink>
      <w:r>
        <w:t xml:space="preserve">. Vysvětlení </w:t>
      </w:r>
      <w:r w:rsidRPr="009E1314">
        <w:t>hlavní</w:t>
      </w:r>
      <w:r>
        <w:t>ch cílů SDV, aktuální</w:t>
      </w:r>
      <w:r w:rsidRPr="009E1314">
        <w:t xml:space="preserve"> informace o plně</w:t>
      </w:r>
      <w:r>
        <w:t>ní jednotlivých opatření a</w:t>
      </w:r>
      <w:r w:rsidRPr="009E1314">
        <w:t xml:space="preserve"> klíčové dokumenty, které s SDV bezpros</w:t>
      </w:r>
      <w:r>
        <w:t>tředně souvisejí</w:t>
      </w:r>
      <w:r w:rsidR="00FD352C">
        <w:t>,</w:t>
      </w:r>
      <w:r>
        <w:t xml:space="preserve"> jsou k dispozici na webových stránkách SDV: </w:t>
      </w:r>
      <w:hyperlink r:id="rId11" w:history="1">
        <w:r w:rsidR="00FD352C" w:rsidRPr="000C77C1">
          <w:rPr>
            <w:rStyle w:val="Hypertextovodkaz"/>
          </w:rPr>
          <w:t>http://www.msmt.cz/vzdelavani/skolstvi-v-cr/strategie-digitalniho-vzdelavani-do-roku-2020</w:t>
        </w:r>
      </w:hyperlink>
      <w:r w:rsidR="00FD352C">
        <w:t>.</w:t>
      </w:r>
    </w:p>
    <w:p w:rsidR="00506BB6" w:rsidRDefault="00FF2D3E" w:rsidP="00506BB6">
      <w:r>
        <w:t>D</w:t>
      </w:r>
      <w:r w:rsidR="00E77DD1" w:rsidRPr="00E77DD1">
        <w:t>ůležitou charakte</w:t>
      </w:r>
      <w:r w:rsidR="00E77DD1">
        <w:t>ristikou</w:t>
      </w:r>
      <w:r w:rsidR="00E77DD1" w:rsidRPr="00E77DD1">
        <w:t xml:space="preserve"> </w:t>
      </w:r>
      <w:r w:rsidR="00E77DD1">
        <w:t>SDV je</w:t>
      </w:r>
      <w:r w:rsidR="00E77DD1" w:rsidRPr="00E77DD1">
        <w:t xml:space="preserve"> její otevřenost do budoucna. Vývoj v oblasti digitálních technologií a v té souvislosti i obsahu vzdělávání či vědeckých poznatků v pedagogice je velmi dynamický a nelze jej spolehlivě předvídat. V centru pozornosti </w:t>
      </w:r>
      <w:r w:rsidR="00E77DD1">
        <w:t>SDV je</w:t>
      </w:r>
      <w:r w:rsidR="00125BC5">
        <w:t xml:space="preserve"> žák</w:t>
      </w:r>
      <w:r w:rsidR="00E77DD1" w:rsidRPr="00E77DD1">
        <w:t>, který se s pomocí školy a dalších aktérů vzdělávání vně školy musí stát všestrannou osobností, připravenou pro život a uplatnění v době, jejíž mnohé charakt</w:t>
      </w:r>
      <w:r w:rsidR="00125BC5">
        <w:t>eristiky v současnosti neznáme.</w:t>
      </w:r>
      <w:r w:rsidR="00506BB6">
        <w:t xml:space="preserve"> P</w:t>
      </w:r>
      <w:r w:rsidR="00506BB6" w:rsidRPr="00E77DD1">
        <w:t xml:space="preserve">roto nelze </w:t>
      </w:r>
      <w:r w:rsidR="00506BB6">
        <w:t>SDV</w:t>
      </w:r>
      <w:r w:rsidR="00506BB6" w:rsidRPr="00E77DD1">
        <w:t xml:space="preserve"> považovat za dlouhodobě</w:t>
      </w:r>
      <w:r w:rsidR="00FD352C">
        <w:t xml:space="preserve"> statický dokument, je</w:t>
      </w:r>
      <w:r w:rsidR="00506BB6">
        <w:t xml:space="preserve"> pravidelně vyhodnocována a aktualizována</w:t>
      </w:r>
      <w:r w:rsidR="00506BB6" w:rsidRPr="00E77DD1">
        <w:t>.</w:t>
      </w:r>
    </w:p>
    <w:p w:rsidR="00FD352C" w:rsidRDefault="00B36606" w:rsidP="00FD352C">
      <w:pPr>
        <w:pStyle w:val="Nadpis1"/>
      </w:pPr>
      <w:bookmarkStart w:id="1" w:name="_Toc469572102"/>
      <w:r>
        <w:t>Hodnocení postupu realizace a naplňování cílů strategie</w:t>
      </w:r>
      <w:bookmarkEnd w:id="1"/>
    </w:p>
    <w:p w:rsidR="007666F0" w:rsidRDefault="007A4DF9" w:rsidP="001473C8">
      <w:r>
        <w:t xml:space="preserve">Všechny aktivity </w:t>
      </w:r>
      <w:r w:rsidR="0047563C">
        <w:t xml:space="preserve">SDV </w:t>
      </w:r>
      <w:r>
        <w:t>jsou realizovány</w:t>
      </w:r>
      <w:r w:rsidR="00751477">
        <w:t xml:space="preserve"> alespoň na úrovni plánování dílčích kroků a/nebo </w:t>
      </w:r>
      <w:r w:rsidR="0047563C">
        <w:t xml:space="preserve">přípravných </w:t>
      </w:r>
      <w:r w:rsidR="00751477">
        <w:t>jednání s dalšími zapojenými stranami</w:t>
      </w:r>
      <w:r>
        <w:t>.</w:t>
      </w:r>
      <w:r w:rsidR="00E5311D">
        <w:t xml:space="preserve"> </w:t>
      </w:r>
    </w:p>
    <w:p w:rsidR="00AF7EA2" w:rsidRDefault="00A74265" w:rsidP="001473C8">
      <w:r>
        <w:t xml:space="preserve">Protože SDV rozpracovává priority </w:t>
      </w:r>
      <w:r w:rsidRPr="003C49E3">
        <w:rPr>
          <w:i/>
        </w:rPr>
        <w:t>Strategie vzdělávací politiky ČR do roku 2020</w:t>
      </w:r>
      <w:r>
        <w:t xml:space="preserve"> pro digitální prostředí, nutně se její realizace dotýká většiny dalších aktivit MŠMT</w:t>
      </w:r>
      <w:r w:rsidR="00073094">
        <w:t xml:space="preserve"> a prolíná se jeho aktuálními prioritami</w:t>
      </w:r>
      <w:r>
        <w:t xml:space="preserve">. </w:t>
      </w:r>
      <w:r w:rsidR="002D2520">
        <w:t>J</w:t>
      </w:r>
      <w:r w:rsidR="00073094">
        <w:t xml:space="preserve">ejí </w:t>
      </w:r>
      <w:r w:rsidR="00576D46">
        <w:t>opatření ve 3. směru intervence (</w:t>
      </w:r>
      <w:r w:rsidR="00576D46" w:rsidRPr="00BB1718">
        <w:rPr>
          <w:i/>
        </w:rPr>
        <w:t>Zajistit podmínky pro rozvoj digitální gramotnosti a informatického myšlení učitelů</w:t>
      </w:r>
      <w:r w:rsidR="00873D35">
        <w:t>) jsou provázány s přípravou</w:t>
      </w:r>
      <w:r w:rsidR="00576D46">
        <w:t xml:space="preserve"> kariérního řádu, </w:t>
      </w:r>
      <w:r w:rsidR="00073094">
        <w:t xml:space="preserve">opatření </w:t>
      </w:r>
      <w:r w:rsidR="006D58F5">
        <w:t>ve 4. směru intervence (</w:t>
      </w:r>
      <w:r w:rsidR="006D58F5" w:rsidRPr="006D58F5">
        <w:rPr>
          <w:i/>
        </w:rPr>
        <w:t>Zajistit budování a obnovu vzdělávací infrastruktury</w:t>
      </w:r>
      <w:r w:rsidR="006D58F5">
        <w:t xml:space="preserve">) </w:t>
      </w:r>
      <w:r w:rsidR="00073094">
        <w:t xml:space="preserve">jsou </w:t>
      </w:r>
      <w:r w:rsidR="00873D35">
        <w:t>provázány s</w:t>
      </w:r>
      <w:r w:rsidR="00073094">
        <w:t xml:space="preserve"> reform</w:t>
      </w:r>
      <w:r w:rsidR="00873D35">
        <w:t>ou</w:t>
      </w:r>
      <w:r w:rsidR="00073094">
        <w:t xml:space="preserve"> financován</w:t>
      </w:r>
      <w:r w:rsidR="00576D46">
        <w:t>í regionálního školství</w:t>
      </w:r>
      <w:r w:rsidR="00755E22">
        <w:t xml:space="preserve">, </w:t>
      </w:r>
      <w:r w:rsidR="00D04BB1">
        <w:t>většina z opatření SDV</w:t>
      </w:r>
      <w:r w:rsidR="009E68D3">
        <w:t xml:space="preserve"> podporuje a usnadňuje realizaci společného vzdělávání.</w:t>
      </w:r>
      <w:r w:rsidR="00E95F6F">
        <w:t xml:space="preserve"> Opatření SDV </w:t>
      </w:r>
      <w:r w:rsidR="00BB1718">
        <w:t>v 1.</w:t>
      </w:r>
      <w:r w:rsidR="00D04BB1">
        <w:t> </w:t>
      </w:r>
      <w:r w:rsidR="00BB1718">
        <w:t>směru intervence (</w:t>
      </w:r>
      <w:r w:rsidR="00BB1718" w:rsidRPr="00BB1718">
        <w:rPr>
          <w:i/>
        </w:rPr>
        <w:t>Zajistit nediskriminační přístup k digitálním vzdělávacím zdrojům</w:t>
      </w:r>
      <w:r w:rsidR="00BB1718">
        <w:t xml:space="preserve">) </w:t>
      </w:r>
      <w:r w:rsidR="00E95F6F">
        <w:t xml:space="preserve">ovlivňují nároky na výstupy projektů </w:t>
      </w:r>
      <w:r w:rsidR="002D2520">
        <w:t xml:space="preserve">v OP VVV </w:t>
      </w:r>
      <w:r w:rsidR="00E95F6F">
        <w:t>zejména v PO3</w:t>
      </w:r>
      <w:r w:rsidR="00BB1718">
        <w:t>, opatření v 5. směru intervence (</w:t>
      </w:r>
      <w:r w:rsidR="00BB1718" w:rsidRPr="00BB1718">
        <w:rPr>
          <w:i/>
        </w:rPr>
        <w:t>Podpořit inovační postupy, sledování, hodnocení a šíření jejich výsledků</w:t>
      </w:r>
      <w:r w:rsidR="00BB1718">
        <w:t>)</w:t>
      </w:r>
      <w:r w:rsidR="007D719D">
        <w:t xml:space="preserve"> iniciovala oživení rezortního výzkumu M</w:t>
      </w:r>
      <w:r w:rsidR="00C64128">
        <w:t>ŠMT</w:t>
      </w:r>
      <w:r w:rsidR="00BB1718">
        <w:t>.</w:t>
      </w:r>
      <w:r w:rsidR="00C64128">
        <w:t xml:space="preserve"> </w:t>
      </w:r>
    </w:p>
    <w:p w:rsidR="00D04BB1" w:rsidRDefault="008B005F" w:rsidP="001473C8">
      <w:r>
        <w:lastRenderedPageBreak/>
        <w:t xml:space="preserve">Na realizaci SDV </w:t>
      </w:r>
      <w:r w:rsidR="00072B66">
        <w:t xml:space="preserve">MŠMT </w:t>
      </w:r>
      <w:r w:rsidR="00380940">
        <w:t>a jeho OPŘO spolupracují</w:t>
      </w:r>
      <w:r w:rsidR="00072B66">
        <w:t xml:space="preserve"> s dalšími orgány státní správy</w:t>
      </w:r>
      <w:r w:rsidR="006B12EA">
        <w:t>, úřady a institucemi. Jsou to především</w:t>
      </w:r>
      <w:r w:rsidR="003B5FA1">
        <w:t>:</w:t>
      </w:r>
    </w:p>
    <w:p w:rsidR="003B5FA1" w:rsidRDefault="006B12EA" w:rsidP="00246A0B">
      <w:pPr>
        <w:pStyle w:val="Odstavecseseznamem"/>
        <w:numPr>
          <w:ilvl w:val="0"/>
          <w:numId w:val="14"/>
        </w:numPr>
      </w:pPr>
      <w:r>
        <w:t>Úřad</w:t>
      </w:r>
      <w:r w:rsidR="003B5FA1">
        <w:t xml:space="preserve"> vlády </w:t>
      </w:r>
      <w:r w:rsidR="00AF7EF8">
        <w:t>–</w:t>
      </w:r>
      <w:r w:rsidR="003B5FA1">
        <w:t xml:space="preserve"> </w:t>
      </w:r>
      <w:r w:rsidR="005F5B9F">
        <w:t xml:space="preserve">aktivity </w:t>
      </w:r>
      <w:r w:rsidR="00AF7EF8">
        <w:t>České národní koalice pro digitální pracovní místa</w:t>
      </w:r>
      <w:r w:rsidR="001974BF">
        <w:t>,</w:t>
      </w:r>
      <w:r w:rsidR="00AA0BF7">
        <w:t xml:space="preserve"> koordinace SDV s Akčním plánem </w:t>
      </w:r>
      <w:r w:rsidR="00AA0BF7" w:rsidRPr="00AA0BF7">
        <w:t>pro rozvoj digitálního trhu</w:t>
      </w:r>
      <w:r w:rsidR="00AA0BF7">
        <w:t>, naplňování priorit koordinátora digitální agendy ČR (e-</w:t>
      </w:r>
      <w:proofErr w:type="spellStart"/>
      <w:r w:rsidR="00AA0BF7">
        <w:t>skills</w:t>
      </w:r>
      <w:proofErr w:type="spellEnd"/>
      <w:r w:rsidR="00AA0BF7">
        <w:t>)</w:t>
      </w:r>
    </w:p>
    <w:p w:rsidR="00AF7EF8" w:rsidRDefault="006B12EA" w:rsidP="00246A0B">
      <w:pPr>
        <w:pStyle w:val="Odstavecseseznamem"/>
        <w:numPr>
          <w:ilvl w:val="0"/>
          <w:numId w:val="14"/>
        </w:numPr>
      </w:pPr>
      <w:r>
        <w:t>Ministerstvo</w:t>
      </w:r>
      <w:r w:rsidR="00AF7EF8">
        <w:t xml:space="preserve"> práce a sociálních věcí</w:t>
      </w:r>
      <w:r>
        <w:t xml:space="preserve"> a Fond</w:t>
      </w:r>
      <w:r w:rsidR="00184DE5">
        <w:t xml:space="preserve"> dalšího vzdělávání</w:t>
      </w:r>
      <w:r>
        <w:t xml:space="preserve"> – koordinace</w:t>
      </w:r>
      <w:r w:rsidR="00AF7EF8">
        <w:t xml:space="preserve"> aktivit se Strategií digitální gramotnosti</w:t>
      </w:r>
      <w:r w:rsidR="00184DE5">
        <w:t xml:space="preserve"> </w:t>
      </w:r>
      <w:r w:rsidR="00184DE5" w:rsidRPr="00184DE5">
        <w:t>ČR na období 2015 až 2020</w:t>
      </w:r>
      <w:r w:rsidR="001974BF">
        <w:t>,</w:t>
      </w:r>
    </w:p>
    <w:p w:rsidR="00184DE5" w:rsidRDefault="006B12EA" w:rsidP="00246A0B">
      <w:pPr>
        <w:pStyle w:val="Odstavecseseznamem"/>
        <w:numPr>
          <w:ilvl w:val="0"/>
          <w:numId w:val="14"/>
        </w:numPr>
      </w:pPr>
      <w:r>
        <w:t>Ministerstvo</w:t>
      </w:r>
      <w:r w:rsidR="000330B2">
        <w:t xml:space="preserve"> pro místní rozvoj, </w:t>
      </w:r>
      <w:r>
        <w:t>Ministerstvo</w:t>
      </w:r>
      <w:r w:rsidR="00184DE5">
        <w:t xml:space="preserve"> průmyslu a obcho</w:t>
      </w:r>
      <w:r>
        <w:t>du, Ministerstvo</w:t>
      </w:r>
      <w:r w:rsidR="00184DE5">
        <w:t xml:space="preserve"> vnitra a</w:t>
      </w:r>
      <w:r>
        <w:t> Národní agentura</w:t>
      </w:r>
      <w:r w:rsidR="00184DE5" w:rsidRPr="00184DE5">
        <w:t xml:space="preserve"> pro komunikační a informační technologie</w:t>
      </w:r>
      <w:r>
        <w:t xml:space="preserve"> – podpora</w:t>
      </w:r>
      <w:r w:rsidR="000330B2">
        <w:t xml:space="preserve"> připojení škol k</w:t>
      </w:r>
      <w:r w:rsidR="001974BF">
        <w:t> </w:t>
      </w:r>
      <w:r w:rsidR="000330B2">
        <w:t>internetu</w:t>
      </w:r>
      <w:r w:rsidR="001974BF">
        <w:t>,</w:t>
      </w:r>
    </w:p>
    <w:p w:rsidR="000330B2" w:rsidRDefault="006B12EA" w:rsidP="00246A0B">
      <w:pPr>
        <w:pStyle w:val="Odstavecseseznamem"/>
        <w:numPr>
          <w:ilvl w:val="0"/>
          <w:numId w:val="14"/>
        </w:numPr>
      </w:pPr>
      <w:r>
        <w:t>Ministerstvo</w:t>
      </w:r>
      <w:r w:rsidR="000330B2">
        <w:t xml:space="preserve"> kultury –</w:t>
      </w:r>
      <w:r>
        <w:t xml:space="preserve"> </w:t>
      </w:r>
      <w:r w:rsidR="00576D46">
        <w:t>prosazován</w:t>
      </w:r>
      <w:r w:rsidR="000330B2">
        <w:t>í otevřených vzdělávacích zdrojů</w:t>
      </w:r>
      <w:r w:rsidR="000C0549">
        <w:t xml:space="preserve"> a aktivity na podporu propojení formálního a neformálního učení</w:t>
      </w:r>
      <w:r w:rsidR="001974BF">
        <w:t>,</w:t>
      </w:r>
    </w:p>
    <w:p w:rsidR="000330B2" w:rsidRDefault="006B12EA" w:rsidP="00246A0B">
      <w:pPr>
        <w:pStyle w:val="Odstavecseseznamem"/>
        <w:numPr>
          <w:ilvl w:val="0"/>
          <w:numId w:val="14"/>
        </w:numPr>
      </w:pPr>
      <w:r>
        <w:t>Národní bezpečnostní úřad – inovace</w:t>
      </w:r>
      <w:r w:rsidR="006C3B9F">
        <w:t xml:space="preserve"> kurikula a</w:t>
      </w:r>
      <w:r w:rsidR="001A1AFB">
        <w:t xml:space="preserve"> začleňování otázek kybernetické bezpečnosti </w:t>
      </w:r>
      <w:r w:rsidR="006115E8">
        <w:t>do rámcových vzdělávacích programů ve všeobecném vzdělávání</w:t>
      </w:r>
      <w:r w:rsidR="001974BF">
        <w:t>,</w:t>
      </w:r>
    </w:p>
    <w:p w:rsidR="006115E8" w:rsidRDefault="00866A8F" w:rsidP="00246A0B">
      <w:pPr>
        <w:pStyle w:val="Odstavecseseznamem"/>
        <w:numPr>
          <w:ilvl w:val="0"/>
          <w:numId w:val="14"/>
        </w:numPr>
      </w:pPr>
      <w:r>
        <w:t xml:space="preserve">Česká školní inspekce – </w:t>
      </w:r>
      <w:r w:rsidR="00902966" w:rsidRPr="00902966">
        <w:t>zjišťování dat a informací</w:t>
      </w:r>
      <w:r w:rsidR="00902966">
        <w:t xml:space="preserve"> o podmínkách, průběhu a výsledcích rozvoje digitální gramotnosti a informatického myšlení žáků</w:t>
      </w:r>
      <w:r w:rsidR="001974BF">
        <w:t>,</w:t>
      </w:r>
    </w:p>
    <w:p w:rsidR="006115E8" w:rsidRDefault="00866A8F" w:rsidP="00246A0B">
      <w:pPr>
        <w:pStyle w:val="Odstavecseseznamem"/>
        <w:numPr>
          <w:ilvl w:val="0"/>
          <w:numId w:val="14"/>
        </w:numPr>
      </w:pPr>
      <w:r>
        <w:t>Technologická agentura</w:t>
      </w:r>
      <w:r w:rsidR="006115E8">
        <w:t xml:space="preserve"> ČR</w:t>
      </w:r>
      <w:r>
        <w:t xml:space="preserve"> – </w:t>
      </w:r>
      <w:r w:rsidR="00902966">
        <w:t>řešení výzkumných potřeb vyplývajících z jednotlivých aktivit SDV</w:t>
      </w:r>
      <w:r w:rsidR="001974BF">
        <w:t>,</w:t>
      </w:r>
    </w:p>
    <w:p w:rsidR="006115E8" w:rsidRDefault="00866A8F" w:rsidP="00246A0B">
      <w:pPr>
        <w:pStyle w:val="Odstavecseseznamem"/>
        <w:numPr>
          <w:ilvl w:val="0"/>
          <w:numId w:val="14"/>
        </w:numPr>
      </w:pPr>
      <w:r>
        <w:t>Úřad</w:t>
      </w:r>
      <w:r w:rsidR="006115E8">
        <w:t xml:space="preserve"> na ochranu osobních údajů</w:t>
      </w:r>
      <w:r>
        <w:t xml:space="preserve"> – příprava</w:t>
      </w:r>
      <w:r w:rsidR="00902966" w:rsidRPr="00902966">
        <w:t xml:space="preserve"> podmínek pro využití velkých dat ve školství</w:t>
      </w:r>
      <w:r w:rsidR="001974BF">
        <w:t>.</w:t>
      </w:r>
    </w:p>
    <w:p w:rsidR="00E00A95" w:rsidRDefault="00CB5B22" w:rsidP="00CB5B22">
      <w:r>
        <w:t xml:space="preserve">SDV se </w:t>
      </w:r>
      <w:r w:rsidRPr="0079789B">
        <w:t>zaměřuje na vytvoření vhodných podmínek a nastavení procesů</w:t>
      </w:r>
      <w:r>
        <w:t xml:space="preserve">, které povedou ke změnám ve vzdělávání. </w:t>
      </w:r>
      <w:r w:rsidR="004F61FB">
        <w:t>Jde o systémové změny</w:t>
      </w:r>
      <w:r w:rsidR="00AF3028">
        <w:t xml:space="preserve"> a ukazuje se, že není snadné pochopit smysl a rozdělení úkolů</w:t>
      </w:r>
      <w:r w:rsidR="00471E97">
        <w:t xml:space="preserve">. Cílem je </w:t>
      </w:r>
      <w:r w:rsidR="00461BEE">
        <w:t xml:space="preserve">postupná </w:t>
      </w:r>
      <w:r w:rsidR="004F61FB">
        <w:t>proměna</w:t>
      </w:r>
      <w:r w:rsidR="00461BEE">
        <w:t xml:space="preserve"> způsobu a obsahu vzdělá</w:t>
      </w:r>
      <w:r w:rsidR="004F61FB">
        <w:t>vání a</w:t>
      </w:r>
      <w:r w:rsidR="005F6333">
        <w:t xml:space="preserve"> do tohoto úkolu budou </w:t>
      </w:r>
      <w:r w:rsidR="00C14016">
        <w:t xml:space="preserve">nakonec </w:t>
      </w:r>
      <w:r w:rsidR="005F6333">
        <w:t>zapojené</w:t>
      </w:r>
      <w:r w:rsidR="00461BEE">
        <w:t xml:space="preserve"> především</w:t>
      </w:r>
      <w:r w:rsidR="00471E97">
        <w:t xml:space="preserve"> škol</w:t>
      </w:r>
      <w:r w:rsidR="00461BEE">
        <w:t>y</w:t>
      </w:r>
      <w:r w:rsidR="00471E97">
        <w:t>, jejich vedení a uč</w:t>
      </w:r>
      <w:r w:rsidR="005F6333">
        <w:t xml:space="preserve">itelé. Intervence SDV </w:t>
      </w:r>
      <w:r w:rsidR="00C14016">
        <w:t xml:space="preserve">tvoří </w:t>
      </w:r>
      <w:r w:rsidR="005F6333">
        <w:t xml:space="preserve">systém navzájem propojených opatření a aktivit </w:t>
      </w:r>
      <w:r w:rsidR="00AF3028">
        <w:t>směřují</w:t>
      </w:r>
      <w:r w:rsidR="005F6333">
        <w:t>cích</w:t>
      </w:r>
      <w:r w:rsidR="00AF3028">
        <w:t xml:space="preserve"> k přípravě komfortního prostředí</w:t>
      </w:r>
      <w:r w:rsidR="00480471">
        <w:t xml:space="preserve"> a podpůrného systému</w:t>
      </w:r>
      <w:r w:rsidR="00C06A7C">
        <w:t>, které práci škol umožní, a jsou úkolem (zjednodušeně) všech ostatních</w:t>
      </w:r>
      <w:r w:rsidR="00480471">
        <w:t xml:space="preserve">. Teprve po důsledné realizaci </w:t>
      </w:r>
      <w:r w:rsidR="00C06A7C">
        <w:t xml:space="preserve">aktivit SDV </w:t>
      </w:r>
      <w:r w:rsidR="00480471">
        <w:t xml:space="preserve">bude možné </w:t>
      </w:r>
      <w:r w:rsidR="005F6333">
        <w:t xml:space="preserve">mít nové nároky na práci škol a </w:t>
      </w:r>
      <w:r w:rsidR="00480471">
        <w:t>začít sledovat účinky strategie na úrovni výsledků vzdělávání.</w:t>
      </w:r>
      <w:r w:rsidR="003B2CB0">
        <w:t xml:space="preserve"> </w:t>
      </w:r>
    </w:p>
    <w:p w:rsidR="00813609" w:rsidRDefault="00813609" w:rsidP="00CB5B22">
      <w:r>
        <w:t xml:space="preserve">Podobně jako digitální technologie pronikají do nejrůznějších činností </w:t>
      </w:r>
      <w:r w:rsidR="00D87CFC">
        <w:t>člověka, měly by cíle digitálního vzdělávání formulované v SDV</w:t>
      </w:r>
      <w:r>
        <w:t xml:space="preserve"> proniknout do nejrůznějších činností </w:t>
      </w:r>
      <w:r w:rsidR="009A2BAD">
        <w:t xml:space="preserve">a úkolů </w:t>
      </w:r>
      <w:r w:rsidR="00D87CFC">
        <w:t xml:space="preserve">především </w:t>
      </w:r>
      <w:r w:rsidR="009A2BAD">
        <w:t xml:space="preserve">MŠMT </w:t>
      </w:r>
      <w:r w:rsidR="00D87CFC">
        <w:t>a</w:t>
      </w:r>
      <w:r w:rsidR="004665BC">
        <w:t> </w:t>
      </w:r>
      <w:r w:rsidR="00D87CFC">
        <w:t>spolupracujících (dotčených) úřadů a institucí.</w:t>
      </w:r>
      <w:r w:rsidR="004665BC">
        <w:t xml:space="preserve"> Často jako důvod zpoždění v realizaci aktivit bývá uváděn nedostatek financí nebo lid</w:t>
      </w:r>
      <w:r w:rsidR="00770B56">
        <w:t>ských zdr</w:t>
      </w:r>
      <w:r w:rsidR="00A21C8E">
        <w:t xml:space="preserve">ojů. Limity rozpočtů jsou dané a nedostatek financí plnění aktivit </w:t>
      </w:r>
      <w:r w:rsidR="005651A5">
        <w:t xml:space="preserve">reálně </w:t>
      </w:r>
      <w:r w:rsidR="00A21C8E">
        <w:t>ohrožuje</w:t>
      </w:r>
      <w:r w:rsidR="00770B56">
        <w:t>, nicméně v některých případech lze problém nahlížet i jako otázku nas</w:t>
      </w:r>
      <w:r w:rsidR="005651A5">
        <w:t>tavení priorit – a SDV</w:t>
      </w:r>
      <w:r w:rsidR="00770B56">
        <w:t xml:space="preserve"> bohužel </w:t>
      </w:r>
      <w:r w:rsidR="005651A5">
        <w:t xml:space="preserve">často prioritou </w:t>
      </w:r>
      <w:r w:rsidR="00770B56">
        <w:t>nebývá</w:t>
      </w:r>
      <w:r w:rsidR="005651A5">
        <w:t xml:space="preserve"> nebo bývá pouze v rovině proklamativní</w:t>
      </w:r>
      <w:r w:rsidR="00770B56">
        <w:t>.</w:t>
      </w:r>
    </w:p>
    <w:p w:rsidR="00CB5B22" w:rsidRDefault="00111131" w:rsidP="00CB5B22">
      <w:r>
        <w:t>Přestože ke zpoždění některý aktivit dochází posunutím začátku projektů</w:t>
      </w:r>
      <w:r w:rsidR="00593111">
        <w:t xml:space="preserve"> OP VVV</w:t>
      </w:r>
      <w:r>
        <w:t xml:space="preserve">, ve kterých se </w:t>
      </w:r>
      <w:r w:rsidR="005651A5">
        <w:t xml:space="preserve">dílčí </w:t>
      </w:r>
      <w:r>
        <w:t>aktivity SD</w:t>
      </w:r>
      <w:r w:rsidR="00104A5F">
        <w:t>V mají real</w:t>
      </w:r>
      <w:r w:rsidR="00593111">
        <w:t xml:space="preserve">izovat, </w:t>
      </w:r>
      <w:r w:rsidR="00104A5F">
        <w:t>je</w:t>
      </w:r>
      <w:r w:rsidR="00593111">
        <w:t xml:space="preserve"> významným přínosem </w:t>
      </w:r>
      <w:r w:rsidR="005C75A0">
        <w:t xml:space="preserve">pro </w:t>
      </w:r>
      <w:r w:rsidR="005651A5">
        <w:t xml:space="preserve">plnění úkolů SDV </w:t>
      </w:r>
      <w:r w:rsidR="00593111">
        <w:t xml:space="preserve">úspěšně se rozvíjející spolupráce se sekcí řízení operačních programů. </w:t>
      </w:r>
      <w:r w:rsidR="002A2E16">
        <w:t>Pro SDV se připravuje série tří navazujících výzev</w:t>
      </w:r>
      <w:r w:rsidR="005651A5">
        <w:t>, první z nich již byla vyhlášena,</w:t>
      </w:r>
      <w:r w:rsidR="002A2E16">
        <w:t xml:space="preserve"> a řada dílčích aktivit SDV je součástí výzev, které nejsou primárně na digitální vzdělávání za</w:t>
      </w:r>
      <w:r w:rsidR="005651A5">
        <w:t>měřené. Bez podpory z operačních programů</w:t>
      </w:r>
      <w:r w:rsidR="002A2E16">
        <w:t xml:space="preserve"> by většinu aktivit nebylo možné </w:t>
      </w:r>
      <w:r w:rsidR="005651A5">
        <w:t xml:space="preserve">v plné míře </w:t>
      </w:r>
      <w:r w:rsidR="002A2E16">
        <w:t>realizovat.</w:t>
      </w:r>
    </w:p>
    <w:p w:rsidR="007A2E1F" w:rsidRDefault="007A2E1F" w:rsidP="001473C8">
      <w:r w:rsidRPr="007A2E1F">
        <w:t xml:space="preserve">Hodnocení </w:t>
      </w:r>
      <w:r>
        <w:t>naplňování prioritních cílů SDV</w:t>
      </w:r>
      <w:r w:rsidRPr="007A2E1F">
        <w:t xml:space="preserve"> </w:t>
      </w:r>
      <w:r w:rsidR="00240E6F" w:rsidRPr="00240E6F">
        <w:t xml:space="preserve">využívá jednotná kritéria pro hodnocení pokroku </w:t>
      </w:r>
      <w:r w:rsidR="001249B6">
        <w:t xml:space="preserve">v </w:t>
      </w:r>
      <w:r w:rsidR="00240E6F" w:rsidRPr="00240E6F">
        <w:t>plnění jednotlivých</w:t>
      </w:r>
      <w:r w:rsidR="00240E6F">
        <w:t xml:space="preserve"> aktivit</w:t>
      </w:r>
      <w:r>
        <w:t>:</w:t>
      </w:r>
    </w:p>
    <w:tbl>
      <w:tblPr>
        <w:tblStyle w:val="Mkatabulky"/>
        <w:tblW w:w="9072" w:type="dxa"/>
        <w:tblInd w:w="-5" w:type="dxa"/>
        <w:tblLayout w:type="fixed"/>
        <w:tblCellMar>
          <w:left w:w="113" w:type="dxa"/>
        </w:tblCellMar>
        <w:tblLook w:val="04A0" w:firstRow="1" w:lastRow="0" w:firstColumn="1" w:lastColumn="0" w:noHBand="0" w:noVBand="1"/>
      </w:tblPr>
      <w:tblGrid>
        <w:gridCol w:w="1701"/>
        <w:gridCol w:w="5954"/>
        <w:gridCol w:w="1417"/>
      </w:tblGrid>
      <w:tr w:rsidR="00FA405D" w:rsidRPr="001249B6" w:rsidTr="009C1AC6">
        <w:trPr>
          <w:trHeight w:val="286"/>
        </w:trPr>
        <w:tc>
          <w:tcPr>
            <w:tcW w:w="7655" w:type="dxa"/>
            <w:gridSpan w:val="2"/>
            <w:shd w:val="clear" w:color="auto" w:fill="auto"/>
            <w:tcMar>
              <w:left w:w="113" w:type="dxa"/>
            </w:tcMar>
            <w:vAlign w:val="center"/>
          </w:tcPr>
          <w:p w:rsidR="00FA405D" w:rsidRPr="001249B6" w:rsidRDefault="00FA405D" w:rsidP="001249B6">
            <w:r>
              <w:lastRenderedPageBreak/>
              <w:t>Stav plnění</w:t>
            </w:r>
          </w:p>
        </w:tc>
        <w:tc>
          <w:tcPr>
            <w:tcW w:w="1417" w:type="dxa"/>
          </w:tcPr>
          <w:p w:rsidR="00FA405D" w:rsidRPr="001249B6" w:rsidRDefault="00FA405D" w:rsidP="001249B6">
            <w:r>
              <w:t>Počet aktivit</w:t>
            </w:r>
          </w:p>
        </w:tc>
      </w:tr>
      <w:tr w:rsidR="00FA405D" w:rsidRPr="001249B6" w:rsidTr="00FA405D">
        <w:trPr>
          <w:trHeight w:val="286"/>
        </w:trPr>
        <w:tc>
          <w:tcPr>
            <w:tcW w:w="1701" w:type="dxa"/>
            <w:shd w:val="clear" w:color="auto" w:fill="auto"/>
            <w:tcMar>
              <w:left w:w="113" w:type="dxa"/>
            </w:tcMar>
            <w:vAlign w:val="center"/>
          </w:tcPr>
          <w:p w:rsidR="00FA405D" w:rsidRPr="001249B6" w:rsidRDefault="00FA405D" w:rsidP="001249B6">
            <w:r w:rsidRPr="001249B6">
              <w:t>Nerealizováno.</w:t>
            </w:r>
          </w:p>
        </w:tc>
        <w:tc>
          <w:tcPr>
            <w:tcW w:w="5954" w:type="dxa"/>
            <w:shd w:val="clear" w:color="auto" w:fill="auto"/>
            <w:tcMar>
              <w:left w:w="113" w:type="dxa"/>
            </w:tcMar>
            <w:vAlign w:val="center"/>
          </w:tcPr>
          <w:p w:rsidR="00FA405D" w:rsidRPr="001249B6" w:rsidRDefault="00FA405D" w:rsidP="001249B6">
            <w:r w:rsidRPr="001249B6">
              <w:t>V dané oblasti nejsou uskutečňovány významné aktivity.</w:t>
            </w:r>
          </w:p>
        </w:tc>
        <w:tc>
          <w:tcPr>
            <w:tcW w:w="1417" w:type="dxa"/>
          </w:tcPr>
          <w:p w:rsidR="00FA405D" w:rsidRPr="001249B6" w:rsidRDefault="00FA405D" w:rsidP="001249B6">
            <w:r>
              <w:t>0</w:t>
            </w:r>
          </w:p>
        </w:tc>
      </w:tr>
      <w:tr w:rsidR="00FA405D" w:rsidRPr="001249B6" w:rsidTr="00FA405D">
        <w:tc>
          <w:tcPr>
            <w:tcW w:w="1701" w:type="dxa"/>
            <w:shd w:val="clear" w:color="auto" w:fill="auto"/>
            <w:tcMar>
              <w:left w:w="113" w:type="dxa"/>
            </w:tcMar>
            <w:vAlign w:val="center"/>
          </w:tcPr>
          <w:p w:rsidR="00FA405D" w:rsidRPr="001249B6" w:rsidRDefault="00FA405D" w:rsidP="001249B6">
            <w:r w:rsidRPr="001249B6">
              <w:t>Omezený pokrok</w:t>
            </w:r>
          </w:p>
        </w:tc>
        <w:tc>
          <w:tcPr>
            <w:tcW w:w="5954" w:type="dxa"/>
            <w:shd w:val="clear" w:color="auto" w:fill="auto"/>
            <w:tcMar>
              <w:left w:w="113" w:type="dxa"/>
            </w:tcMar>
            <w:vAlign w:val="center"/>
          </w:tcPr>
          <w:p w:rsidR="00FA405D" w:rsidRPr="001249B6" w:rsidRDefault="00FA405D" w:rsidP="001249B6">
            <w:r w:rsidRPr="001249B6">
              <w:t>Realizuje se v rovině plánování dílčích aktivit, probíhají jednání s dalšími zapojenými stranami, čeká se na výstupy jiných aktivit.</w:t>
            </w:r>
          </w:p>
        </w:tc>
        <w:tc>
          <w:tcPr>
            <w:tcW w:w="1417" w:type="dxa"/>
          </w:tcPr>
          <w:p w:rsidR="00FA405D" w:rsidRPr="001249B6" w:rsidRDefault="003F752F" w:rsidP="001249B6">
            <w:r>
              <w:t>8</w:t>
            </w:r>
          </w:p>
        </w:tc>
      </w:tr>
      <w:tr w:rsidR="00FA405D" w:rsidRPr="001249B6" w:rsidTr="00FA405D">
        <w:tc>
          <w:tcPr>
            <w:tcW w:w="1701" w:type="dxa"/>
            <w:shd w:val="clear" w:color="auto" w:fill="auto"/>
            <w:tcMar>
              <w:left w:w="113" w:type="dxa"/>
            </w:tcMar>
            <w:vAlign w:val="center"/>
          </w:tcPr>
          <w:p w:rsidR="00FA405D" w:rsidRPr="001249B6" w:rsidRDefault="00FA405D" w:rsidP="001249B6">
            <w:r w:rsidRPr="001249B6">
              <w:t>Pokrok</w:t>
            </w:r>
          </w:p>
        </w:tc>
        <w:tc>
          <w:tcPr>
            <w:tcW w:w="5954" w:type="dxa"/>
            <w:shd w:val="clear" w:color="auto" w:fill="auto"/>
            <w:tcMar>
              <w:left w:w="113" w:type="dxa"/>
            </w:tcMar>
            <w:vAlign w:val="center"/>
          </w:tcPr>
          <w:p w:rsidR="00FA405D" w:rsidRPr="001249B6" w:rsidRDefault="00FA405D" w:rsidP="001249B6">
            <w:r w:rsidRPr="001249B6">
              <w:t>Realizují se dílčí aktivity. Realizace je monitorována, v případě potřeby se plán upravuje.</w:t>
            </w:r>
          </w:p>
        </w:tc>
        <w:tc>
          <w:tcPr>
            <w:tcW w:w="1417" w:type="dxa"/>
          </w:tcPr>
          <w:p w:rsidR="00FA405D" w:rsidRPr="001249B6" w:rsidRDefault="003F752F" w:rsidP="001249B6">
            <w:r>
              <w:t>32</w:t>
            </w:r>
          </w:p>
        </w:tc>
      </w:tr>
      <w:tr w:rsidR="00FA405D" w:rsidRPr="001249B6" w:rsidTr="00FA405D">
        <w:tc>
          <w:tcPr>
            <w:tcW w:w="1701" w:type="dxa"/>
            <w:shd w:val="clear" w:color="auto" w:fill="auto"/>
            <w:tcMar>
              <w:left w:w="113" w:type="dxa"/>
            </w:tcMar>
            <w:vAlign w:val="center"/>
          </w:tcPr>
          <w:p w:rsidR="00FA405D" w:rsidRPr="001249B6" w:rsidRDefault="00FA405D" w:rsidP="001249B6">
            <w:r w:rsidRPr="001249B6">
              <w:t>Významný pokrok</w:t>
            </w:r>
          </w:p>
        </w:tc>
        <w:tc>
          <w:tcPr>
            <w:tcW w:w="5954" w:type="dxa"/>
            <w:shd w:val="clear" w:color="auto" w:fill="auto"/>
            <w:tcMar>
              <w:left w:w="113" w:type="dxa"/>
            </w:tcMar>
            <w:vAlign w:val="center"/>
          </w:tcPr>
          <w:p w:rsidR="00FA405D" w:rsidRPr="001249B6" w:rsidRDefault="00FA405D" w:rsidP="00B73B9F">
            <w:r>
              <w:t xml:space="preserve">Významné </w:t>
            </w:r>
            <w:r w:rsidRPr="001249B6">
              <w:t>dílčí aktivit</w:t>
            </w:r>
            <w:r>
              <w:t>y či většina aktivit</w:t>
            </w:r>
            <w:r w:rsidRPr="001249B6">
              <w:t xml:space="preserve"> jsou splněny. Realizace je monitorována, v případě potřeby se plán upravuje.</w:t>
            </w:r>
          </w:p>
        </w:tc>
        <w:tc>
          <w:tcPr>
            <w:tcW w:w="1417" w:type="dxa"/>
          </w:tcPr>
          <w:p w:rsidR="00FA405D" w:rsidRDefault="003F752F" w:rsidP="00B73B9F">
            <w:r>
              <w:t>3</w:t>
            </w:r>
          </w:p>
        </w:tc>
      </w:tr>
      <w:tr w:rsidR="00FA405D" w:rsidRPr="001249B6" w:rsidTr="00FA405D">
        <w:tc>
          <w:tcPr>
            <w:tcW w:w="1701" w:type="dxa"/>
            <w:shd w:val="clear" w:color="auto" w:fill="auto"/>
            <w:tcMar>
              <w:left w:w="113" w:type="dxa"/>
            </w:tcMar>
            <w:vAlign w:val="center"/>
          </w:tcPr>
          <w:p w:rsidR="00FA405D" w:rsidRPr="001249B6" w:rsidRDefault="00FA405D" w:rsidP="001249B6">
            <w:r w:rsidRPr="001249B6">
              <w:t>Splněno</w:t>
            </w:r>
          </w:p>
        </w:tc>
        <w:tc>
          <w:tcPr>
            <w:tcW w:w="5954" w:type="dxa"/>
            <w:shd w:val="clear" w:color="auto" w:fill="auto"/>
            <w:tcMar>
              <w:left w:w="113" w:type="dxa"/>
            </w:tcMar>
            <w:vAlign w:val="center"/>
          </w:tcPr>
          <w:p w:rsidR="00FA405D" w:rsidRPr="001249B6" w:rsidRDefault="00FA405D" w:rsidP="001249B6">
            <w:r w:rsidRPr="001249B6">
              <w:t>Jsou splněny všechny plánované dílčí aktivity. Lze potvrdit všechny indikátory úspěchu aktivity.</w:t>
            </w:r>
          </w:p>
        </w:tc>
        <w:tc>
          <w:tcPr>
            <w:tcW w:w="1417" w:type="dxa"/>
          </w:tcPr>
          <w:p w:rsidR="00FA405D" w:rsidRPr="001249B6" w:rsidRDefault="00FA405D" w:rsidP="001249B6"/>
        </w:tc>
      </w:tr>
    </w:tbl>
    <w:p w:rsidR="00235333" w:rsidRDefault="00235333">
      <w:pPr>
        <w:spacing w:after="160" w:line="259" w:lineRule="auto"/>
        <w:jc w:val="left"/>
      </w:pPr>
      <w:r>
        <w:br w:type="page"/>
      </w:r>
    </w:p>
    <w:p w:rsidR="00F57D50" w:rsidRDefault="00B36606" w:rsidP="00F57D50">
      <w:pPr>
        <w:pStyle w:val="Nadpis1"/>
      </w:pPr>
      <w:bookmarkStart w:id="2" w:name="_Toc469572103"/>
      <w:r>
        <w:lastRenderedPageBreak/>
        <w:t>Stav plnění jednotlivých aktivit strategie a návrhy na jejich úpravy</w:t>
      </w:r>
      <w:bookmarkEnd w:id="2"/>
    </w:p>
    <w:p w:rsidR="00C24813" w:rsidRDefault="00C24813" w:rsidP="00122E4F"/>
    <w:p w:rsidR="00122E4F" w:rsidRDefault="006B7DD6" w:rsidP="00122E4F">
      <w:r>
        <w:t>Přehled plnění aktivit je uspořádán podle směrů intervence SDV</w:t>
      </w:r>
    </w:p>
    <w:p w:rsidR="00122E4F" w:rsidRDefault="00122E4F" w:rsidP="00246A0B">
      <w:pPr>
        <w:pStyle w:val="Odstavecseseznamem"/>
        <w:numPr>
          <w:ilvl w:val="0"/>
          <w:numId w:val="15"/>
        </w:numPr>
        <w:ind w:left="709"/>
      </w:pPr>
      <w:r>
        <w:t>Zajistit nediskriminační přístup k digitálním vzdělávacím zdrojům.</w:t>
      </w:r>
    </w:p>
    <w:p w:rsidR="00122E4F" w:rsidRDefault="00122E4F" w:rsidP="00246A0B">
      <w:pPr>
        <w:pStyle w:val="Odstavecseseznamem"/>
        <w:numPr>
          <w:ilvl w:val="0"/>
          <w:numId w:val="15"/>
        </w:numPr>
        <w:ind w:left="709"/>
      </w:pPr>
      <w:r>
        <w:t>Zajistit podmínky pro rozvoj digitální gramotnosti a informatického myšlení žáků.</w:t>
      </w:r>
    </w:p>
    <w:p w:rsidR="00122E4F" w:rsidRDefault="00122E4F" w:rsidP="00246A0B">
      <w:pPr>
        <w:pStyle w:val="Odstavecseseznamem"/>
        <w:numPr>
          <w:ilvl w:val="0"/>
          <w:numId w:val="15"/>
        </w:numPr>
        <w:ind w:left="709"/>
      </w:pPr>
      <w:r>
        <w:t>Zajistit podmínky pro rozvoj digitální gramotnosti a informatického myšlení učitelů.</w:t>
      </w:r>
    </w:p>
    <w:p w:rsidR="00122E4F" w:rsidRDefault="00122E4F" w:rsidP="00246A0B">
      <w:pPr>
        <w:pStyle w:val="Odstavecseseznamem"/>
        <w:numPr>
          <w:ilvl w:val="0"/>
          <w:numId w:val="15"/>
        </w:numPr>
        <w:ind w:left="709"/>
      </w:pPr>
      <w:r>
        <w:t>Zajistit budování a obnovu vzdělávací infrastruktury.</w:t>
      </w:r>
    </w:p>
    <w:p w:rsidR="00122E4F" w:rsidRDefault="00122E4F" w:rsidP="00246A0B">
      <w:pPr>
        <w:pStyle w:val="Odstavecseseznamem"/>
        <w:numPr>
          <w:ilvl w:val="0"/>
          <w:numId w:val="15"/>
        </w:numPr>
        <w:ind w:left="709"/>
      </w:pPr>
      <w:r>
        <w:t>Podpořit inovační postupy, sledování, hodnocení a šíření jejich výsledků.</w:t>
      </w:r>
    </w:p>
    <w:p w:rsidR="00122E4F" w:rsidRDefault="00122E4F" w:rsidP="00246A0B">
      <w:pPr>
        <w:pStyle w:val="Odstavecseseznamem"/>
        <w:numPr>
          <w:ilvl w:val="0"/>
          <w:numId w:val="15"/>
        </w:numPr>
        <w:ind w:left="709"/>
      </w:pPr>
      <w:r>
        <w:t>Zajistit systém podporující rozvoj škol v oblasti integrace digitálních technologií do výuky a do života školy.</w:t>
      </w:r>
    </w:p>
    <w:p w:rsidR="00122E4F" w:rsidRDefault="00122E4F" w:rsidP="00246A0B">
      <w:pPr>
        <w:pStyle w:val="Odstavecseseznamem"/>
        <w:numPr>
          <w:ilvl w:val="0"/>
          <w:numId w:val="15"/>
        </w:numPr>
        <w:ind w:left="709"/>
      </w:pPr>
      <w:r>
        <w:t>Zvýšit porozumění veřejnosti cílům a procesům integrace technologií do vzdělávání.</w:t>
      </w:r>
    </w:p>
    <w:p w:rsidR="00B74F3F" w:rsidRDefault="00B74F3F" w:rsidP="00B74F3F">
      <w:pPr>
        <w:sectPr w:rsidR="00B74F3F" w:rsidSect="006B12EA">
          <w:footerReference w:type="default" r:id="rId12"/>
          <w:pgSz w:w="11906" w:h="16838"/>
          <w:pgMar w:top="1417" w:right="1417" w:bottom="1417" w:left="1417" w:header="708" w:footer="708" w:gutter="0"/>
          <w:pgNumType w:start="1"/>
          <w:cols w:space="708"/>
          <w:docGrid w:linePitch="360"/>
        </w:sectPr>
      </w:pPr>
      <w:r w:rsidRPr="00B74F3F">
        <w:rPr>
          <w:noProof/>
          <w:lang w:eastAsia="cs-CZ"/>
        </w:rPr>
        <w:drawing>
          <wp:inline distT="0" distB="0" distL="0" distR="0" wp14:anchorId="76F9D8C7" wp14:editId="597D12E7">
            <wp:extent cx="5760720" cy="400367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60720" cy="4003675"/>
                    </a:xfrm>
                    <a:prstGeom prst="rect">
                      <a:avLst/>
                    </a:prstGeom>
                  </pic:spPr>
                </pic:pic>
              </a:graphicData>
            </a:graphic>
          </wp:inline>
        </w:drawing>
      </w:r>
    </w:p>
    <w:p w:rsidR="00B74F3F" w:rsidRDefault="00B74F3F" w:rsidP="000E6580">
      <w:pPr>
        <w:pStyle w:val="Nadpis2"/>
      </w:pPr>
      <w:bookmarkStart w:id="3" w:name="_Toc469572104"/>
      <w:r>
        <w:lastRenderedPageBreak/>
        <w:t>Zajistit nediskriminační přístup k digitálním vzdělávacím zdrojům.</w:t>
      </w:r>
      <w:bookmarkEnd w:id="3"/>
    </w:p>
    <w:p w:rsidR="00CD3DD6" w:rsidRPr="00CD3DD6" w:rsidRDefault="00CD3DD6" w:rsidP="00CD3DD6">
      <w:pPr>
        <w:pStyle w:val="Nadpis3"/>
      </w:pPr>
      <w:r>
        <w:t>Indikátory úspěchu</w:t>
      </w:r>
    </w:p>
    <w:tbl>
      <w:tblPr>
        <w:tblStyle w:val="Mkatabulky"/>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gridCol w:w="11544"/>
      </w:tblGrid>
      <w:tr w:rsidR="000C0549" w:rsidRPr="00CD3DD6" w:rsidTr="00CD3DD6">
        <w:trPr>
          <w:trHeight w:val="900"/>
        </w:trPr>
        <w:tc>
          <w:tcPr>
            <w:tcW w:w="1555" w:type="dxa"/>
            <w:vMerge w:val="restart"/>
            <w:hideMark/>
          </w:tcPr>
          <w:p w:rsidR="000C0549" w:rsidRPr="00CD3DD6" w:rsidRDefault="000C0549" w:rsidP="00505A00">
            <w:r w:rsidRPr="00CD3DD6">
              <w:t>1.1 Prosazení otevřených vzdělávacích zdrojů</w:t>
            </w:r>
          </w:p>
        </w:tc>
        <w:tc>
          <w:tcPr>
            <w:tcW w:w="4961" w:type="dxa"/>
            <w:vMerge w:val="restart"/>
            <w:hideMark/>
          </w:tcPr>
          <w:p w:rsidR="000C0549" w:rsidRPr="00CD3DD6" w:rsidRDefault="000C0549" w:rsidP="00505A00">
            <w:r w:rsidRPr="00CD3DD6">
              <w:t xml:space="preserve">Všichni aktéři vzdělávání mohou bezúplatně získávat, využívat a dále šířit v elektronické podobě materiály, výukové a informační zdroje, vzdělávací dokumenty, výukové objekty, učební materiály, audia, videa atp., které vznikly jako výstupy aktivit, projektů a prací financovaných z veřejných prostředků. Tyto materiály podléhají licenčním ujednáním, která umožňují nediskriminační nakládání s těmito materiály všem aktérům vzdělávání. Tyto materiály jsou šířeny v otevřených formátech, které nebrání jejich dalšímu digitálnímu zpracování. Licenční podmínky, tedy práva a povinnosti uživatele k dílu, vycházejí vždy ze souboru otevřených licencí </w:t>
            </w:r>
            <w:proofErr w:type="spellStart"/>
            <w:r w:rsidRPr="00CD3DD6">
              <w:t>Creative</w:t>
            </w:r>
            <w:proofErr w:type="spellEnd"/>
            <w:r w:rsidRPr="00CD3DD6">
              <w:t xml:space="preserve"> </w:t>
            </w:r>
            <w:proofErr w:type="spellStart"/>
            <w:r w:rsidRPr="00CD3DD6">
              <w:t>Commons</w:t>
            </w:r>
            <w:proofErr w:type="spellEnd"/>
            <w:r w:rsidRPr="00CD3DD6">
              <w:t xml:space="preserve"> nebo jiné právní ochrany vycházející z autorského zákona, která volné nakládání s nimi také podporuje.</w:t>
            </w:r>
          </w:p>
        </w:tc>
      </w:tr>
      <w:tr w:rsidR="000C0549" w:rsidRPr="00CD3DD6" w:rsidTr="00CD3DD6">
        <w:trPr>
          <w:trHeight w:val="1574"/>
        </w:trPr>
        <w:tc>
          <w:tcPr>
            <w:tcW w:w="1555" w:type="dxa"/>
            <w:vMerge/>
            <w:hideMark/>
          </w:tcPr>
          <w:p w:rsidR="000C0549" w:rsidRPr="00CD3DD6" w:rsidRDefault="000C0549" w:rsidP="00505A00"/>
        </w:tc>
        <w:tc>
          <w:tcPr>
            <w:tcW w:w="4961" w:type="dxa"/>
            <w:vMerge/>
            <w:hideMark/>
          </w:tcPr>
          <w:p w:rsidR="000C0549" w:rsidRPr="00CD3DD6" w:rsidRDefault="000C0549" w:rsidP="00505A00"/>
        </w:tc>
      </w:tr>
      <w:tr w:rsidR="000C0549" w:rsidRPr="00CD3DD6" w:rsidTr="00CD3DD6">
        <w:trPr>
          <w:trHeight w:val="675"/>
        </w:trPr>
        <w:tc>
          <w:tcPr>
            <w:tcW w:w="1555" w:type="dxa"/>
            <w:vMerge w:val="restart"/>
            <w:hideMark/>
          </w:tcPr>
          <w:p w:rsidR="000C0549" w:rsidRPr="00CD3DD6" w:rsidRDefault="000C0549" w:rsidP="00505A00">
            <w:r w:rsidRPr="00CD3DD6">
              <w:t>1.2 Vytvoření recenzního systému pro hodnocení a doporučování kvality otevřených vzdělávacích zdrojů</w:t>
            </w:r>
          </w:p>
        </w:tc>
        <w:tc>
          <w:tcPr>
            <w:tcW w:w="4961" w:type="dxa"/>
            <w:vMerge w:val="restart"/>
            <w:hideMark/>
          </w:tcPr>
          <w:p w:rsidR="00CD3DD6" w:rsidRDefault="000C0549" w:rsidP="00CD3DD6">
            <w:r w:rsidRPr="00CD3DD6">
              <w:t xml:space="preserve">Reputační (recenzní) systém obsahuje </w:t>
            </w:r>
            <w:proofErr w:type="spellStart"/>
            <w:r w:rsidRPr="00CD3DD6">
              <w:t>metadata</w:t>
            </w:r>
            <w:proofErr w:type="spellEnd"/>
            <w:r w:rsidRPr="00CD3DD6">
              <w:t xml:space="preserve"> všech otevřených digitálních zdrojů vzniklých z veřejných prostředků, otevřený je i zdrojům financovaným z neveřejných prostředků. Uživatelé reputačního systému sdílejí své zkušenosti s danými vzdělávacími zdroji a jejich využitím pro učení a výuku a na bázi dobrovolnosti vkládají další odkazy, anotace, hodnocení různými způsoby (hvězdičky, komentáře, reference, odznaky atp.), tj. vytvářejí </w:t>
            </w:r>
            <w:proofErr w:type="spellStart"/>
            <w:r w:rsidRPr="00CD3DD6">
              <w:t>paradata</w:t>
            </w:r>
            <w:proofErr w:type="spellEnd"/>
            <w:r w:rsidRPr="00CD3DD6">
              <w:t>. Kolem reputačního systému existuje komunita vstřícně naladěných uživatelů, portál podporuje učící se komunity a jejich síťování.</w:t>
            </w:r>
          </w:p>
          <w:p w:rsidR="00CD3DD6" w:rsidRDefault="000C0549" w:rsidP="00CD3DD6">
            <w:r w:rsidRPr="00CD3DD6">
              <w:t>Reputační systém je otevřený i zdrojům financovaným z neveřejných prostředků.</w:t>
            </w:r>
          </w:p>
          <w:p w:rsidR="000C0549" w:rsidRPr="00CD3DD6" w:rsidRDefault="000C0549" w:rsidP="00CD3DD6">
            <w:r w:rsidRPr="00CD3DD6">
              <w:t>Zájemcům je dostupná centralizovaná on-line nabídka akreditovaných vzdělávacích programů DVPP včetně plánovaných termínů a hodnocení účastníky vzdělávacích programů. Systém udělování a odnímání schvalovací doložky k učebnicím a učebním textům reflektuje možnosti a charakter digitálních vzdělávacích obsahů.</w:t>
            </w:r>
          </w:p>
        </w:tc>
      </w:tr>
      <w:tr w:rsidR="000C0549" w:rsidRPr="00CD3DD6" w:rsidTr="00CD3DD6">
        <w:trPr>
          <w:trHeight w:val="675"/>
        </w:trPr>
        <w:tc>
          <w:tcPr>
            <w:tcW w:w="1555" w:type="dxa"/>
            <w:vMerge/>
            <w:hideMark/>
          </w:tcPr>
          <w:p w:rsidR="000C0549" w:rsidRPr="00CD3DD6" w:rsidRDefault="000C0549" w:rsidP="00505A00"/>
        </w:tc>
        <w:tc>
          <w:tcPr>
            <w:tcW w:w="4961" w:type="dxa"/>
            <w:vMerge/>
            <w:hideMark/>
          </w:tcPr>
          <w:p w:rsidR="000C0549" w:rsidRPr="00CD3DD6" w:rsidRDefault="000C0549" w:rsidP="00505A00"/>
        </w:tc>
      </w:tr>
      <w:tr w:rsidR="000C0549" w:rsidRPr="00CD3DD6" w:rsidTr="00CD3DD6">
        <w:trPr>
          <w:trHeight w:val="509"/>
        </w:trPr>
        <w:tc>
          <w:tcPr>
            <w:tcW w:w="1555" w:type="dxa"/>
            <w:vMerge/>
            <w:hideMark/>
          </w:tcPr>
          <w:p w:rsidR="000C0549" w:rsidRPr="00CD3DD6" w:rsidRDefault="000C0549" w:rsidP="00505A00"/>
        </w:tc>
        <w:tc>
          <w:tcPr>
            <w:tcW w:w="4961" w:type="dxa"/>
            <w:vMerge/>
            <w:hideMark/>
          </w:tcPr>
          <w:p w:rsidR="000C0549" w:rsidRPr="00CD3DD6" w:rsidRDefault="000C0549" w:rsidP="00505A00"/>
        </w:tc>
      </w:tr>
      <w:tr w:rsidR="000C0549" w:rsidRPr="00CD3DD6" w:rsidTr="00CD3DD6">
        <w:trPr>
          <w:trHeight w:val="1125"/>
        </w:trPr>
        <w:tc>
          <w:tcPr>
            <w:tcW w:w="1555" w:type="dxa"/>
            <w:vMerge/>
            <w:hideMark/>
          </w:tcPr>
          <w:p w:rsidR="000C0549" w:rsidRPr="00CD3DD6" w:rsidRDefault="000C0549" w:rsidP="00505A00"/>
        </w:tc>
        <w:tc>
          <w:tcPr>
            <w:tcW w:w="4961" w:type="dxa"/>
            <w:vMerge/>
            <w:hideMark/>
          </w:tcPr>
          <w:p w:rsidR="000C0549" w:rsidRPr="00CD3DD6" w:rsidRDefault="000C0549" w:rsidP="00505A00"/>
        </w:tc>
      </w:tr>
    </w:tbl>
    <w:p w:rsidR="00250274" w:rsidRDefault="00250274" w:rsidP="00A707CB"/>
    <w:tbl>
      <w:tblPr>
        <w:tblW w:w="15309" w:type="dxa"/>
        <w:tblInd w:w="-5" w:type="dxa"/>
        <w:tblLayout w:type="fixed"/>
        <w:tblCellMar>
          <w:left w:w="70" w:type="dxa"/>
          <w:right w:w="70" w:type="dxa"/>
        </w:tblCellMar>
        <w:tblLook w:val="04A0" w:firstRow="1" w:lastRow="0" w:firstColumn="1" w:lastColumn="0" w:noHBand="0" w:noVBand="1"/>
      </w:tblPr>
      <w:tblGrid>
        <w:gridCol w:w="1226"/>
        <w:gridCol w:w="3027"/>
        <w:gridCol w:w="992"/>
        <w:gridCol w:w="5954"/>
        <w:gridCol w:w="1275"/>
        <w:gridCol w:w="2835"/>
      </w:tblGrid>
      <w:tr w:rsidR="006A1628" w:rsidRPr="00453336" w:rsidTr="000E6580">
        <w:trPr>
          <w:trHeight w:val="810"/>
          <w:tblHeader/>
        </w:trPr>
        <w:tc>
          <w:tcPr>
            <w:tcW w:w="122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lastRenderedPageBreak/>
              <w:t>Opatření</w:t>
            </w:r>
          </w:p>
        </w:tc>
        <w:tc>
          <w:tcPr>
            <w:tcW w:w="3027" w:type="dxa"/>
            <w:tcBorders>
              <w:top w:val="single" w:sz="4" w:space="0" w:color="auto"/>
              <w:left w:val="nil"/>
              <w:bottom w:val="single" w:sz="4" w:space="0" w:color="auto"/>
              <w:right w:val="single" w:sz="4" w:space="0" w:color="auto"/>
            </w:tcBorders>
            <w:shd w:val="clear" w:color="auto" w:fill="5B9BD5" w:themeFill="accent1"/>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Aktivity</w:t>
            </w:r>
          </w:p>
        </w:tc>
        <w:tc>
          <w:tcPr>
            <w:tcW w:w="992" w:type="dxa"/>
            <w:tcBorders>
              <w:top w:val="single" w:sz="4" w:space="0" w:color="auto"/>
              <w:left w:val="nil"/>
              <w:bottom w:val="single" w:sz="4" w:space="0" w:color="auto"/>
              <w:right w:val="single" w:sz="4" w:space="0" w:color="auto"/>
            </w:tcBorders>
            <w:shd w:val="clear" w:color="auto" w:fill="5B9BD5" w:themeFill="accent1"/>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Návrh realizace v SDV</w:t>
            </w:r>
          </w:p>
        </w:tc>
        <w:tc>
          <w:tcPr>
            <w:tcW w:w="5954" w:type="dxa"/>
            <w:tcBorders>
              <w:top w:val="single" w:sz="4" w:space="0" w:color="auto"/>
              <w:left w:val="nil"/>
              <w:bottom w:val="single" w:sz="4" w:space="0" w:color="auto"/>
              <w:right w:val="single" w:sz="4" w:space="0" w:color="auto"/>
            </w:tcBorders>
            <w:shd w:val="clear" w:color="auto" w:fill="5B9BD5" w:themeFill="accent1"/>
            <w:hideMark/>
          </w:tcPr>
          <w:p w:rsidR="006A1628" w:rsidRPr="00453336" w:rsidRDefault="006A1628" w:rsidP="0045041A">
            <w:pPr>
              <w:spacing w:after="0" w:line="240" w:lineRule="auto"/>
              <w:rPr>
                <w:rFonts w:eastAsia="Times New Roman" w:cs="Arial"/>
                <w:b/>
                <w:bCs/>
                <w:sz w:val="20"/>
                <w:szCs w:val="20"/>
                <w:lang w:eastAsia="cs-CZ"/>
              </w:rPr>
            </w:pPr>
            <w:r>
              <w:rPr>
                <w:rFonts w:eastAsia="Times New Roman" w:cs="Arial"/>
                <w:b/>
                <w:bCs/>
                <w:sz w:val="20"/>
                <w:szCs w:val="20"/>
                <w:lang w:eastAsia="cs-CZ"/>
              </w:rPr>
              <w:t>Stav p</w:t>
            </w:r>
            <w:r w:rsidRPr="00453336">
              <w:rPr>
                <w:rFonts w:eastAsia="Times New Roman" w:cs="Arial"/>
                <w:b/>
                <w:bCs/>
                <w:sz w:val="20"/>
                <w:szCs w:val="20"/>
                <w:lang w:eastAsia="cs-CZ"/>
              </w:rPr>
              <w:t>lnění</w:t>
            </w:r>
            <w:r>
              <w:rPr>
                <w:rFonts w:eastAsia="Times New Roman" w:cs="Arial"/>
                <w:b/>
                <w:bCs/>
                <w:sz w:val="20"/>
                <w:szCs w:val="20"/>
                <w:lang w:eastAsia="cs-CZ"/>
              </w:rPr>
              <w:t>, návrh na úpravy znění</w:t>
            </w:r>
          </w:p>
        </w:tc>
        <w:tc>
          <w:tcPr>
            <w:tcW w:w="1275" w:type="dxa"/>
            <w:tcBorders>
              <w:top w:val="single" w:sz="4" w:space="0" w:color="auto"/>
              <w:left w:val="nil"/>
              <w:bottom w:val="single" w:sz="4" w:space="0" w:color="auto"/>
              <w:right w:val="single" w:sz="4" w:space="0" w:color="auto"/>
            </w:tcBorders>
            <w:shd w:val="clear" w:color="auto" w:fill="5B9BD5" w:themeFill="accent1"/>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Termín (SDV)</w:t>
            </w:r>
          </w:p>
        </w:tc>
        <w:tc>
          <w:tcPr>
            <w:tcW w:w="2835" w:type="dxa"/>
            <w:tcBorders>
              <w:top w:val="single" w:sz="4" w:space="0" w:color="auto"/>
              <w:left w:val="nil"/>
              <w:bottom w:val="single" w:sz="4" w:space="0" w:color="auto"/>
              <w:right w:val="single" w:sz="4" w:space="0" w:color="auto"/>
            </w:tcBorders>
            <w:shd w:val="clear" w:color="auto" w:fill="5B9BD5" w:themeFill="accent1"/>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Změna termínu + důvod</w:t>
            </w:r>
          </w:p>
        </w:tc>
      </w:tr>
      <w:tr w:rsidR="006A1628" w:rsidRPr="00C31493" w:rsidTr="006A1628">
        <w:trPr>
          <w:trHeight w:val="1575"/>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1.1 Prosazení otevřených vzdělávacích zdrojů</w:t>
            </w:r>
          </w:p>
        </w:tc>
        <w:tc>
          <w:tcPr>
            <w:tcW w:w="3027"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 xml:space="preserve">1.1.1 </w:t>
            </w:r>
            <w:r w:rsidR="00CD3DD6" w:rsidRPr="00165185">
              <w:rPr>
                <w:rFonts w:eastAsia="Times New Roman" w:cs="Arial"/>
                <w:sz w:val="16"/>
                <w:szCs w:val="16"/>
                <w:lang w:eastAsia="cs-CZ"/>
              </w:rPr>
              <w:t xml:space="preserve">Průběžně ve spolupráci </w:t>
            </w:r>
            <w:r w:rsidR="00CD3DD6">
              <w:rPr>
                <w:rFonts w:eastAsia="Times New Roman" w:cs="Arial"/>
                <w:sz w:val="16"/>
                <w:szCs w:val="16"/>
                <w:lang w:eastAsia="cs-CZ"/>
              </w:rPr>
              <w:t>s orgány</w:t>
            </w:r>
            <w:r w:rsidR="00CD3DD6" w:rsidRPr="00C31493">
              <w:rPr>
                <w:rFonts w:eastAsia="Times New Roman" w:cs="Arial"/>
                <w:sz w:val="16"/>
                <w:szCs w:val="16"/>
                <w:lang w:eastAsia="cs-CZ"/>
              </w:rPr>
              <w:t xml:space="preserve"> státní moci, zejména těm</w:t>
            </w:r>
            <w:r w:rsidR="00CD3DD6">
              <w:rPr>
                <w:rFonts w:eastAsia="Times New Roman" w:cs="Arial"/>
                <w:sz w:val="16"/>
                <w:szCs w:val="16"/>
                <w:lang w:eastAsia="cs-CZ"/>
              </w:rPr>
              <w:t>i</w:t>
            </w:r>
            <w:r w:rsidR="00CD3DD6" w:rsidRPr="00C31493">
              <w:rPr>
                <w:rFonts w:eastAsia="Times New Roman" w:cs="Arial"/>
                <w:sz w:val="16"/>
                <w:szCs w:val="16"/>
                <w:lang w:eastAsia="cs-CZ"/>
              </w:rPr>
              <w:t>, které zpracovávají nové OP či v jejichž gesci vznikají důležité materiály využitelné ve vzdělávání</w:t>
            </w:r>
            <w:r w:rsidR="00CD3DD6" w:rsidRPr="00165185">
              <w:rPr>
                <w:rFonts w:eastAsia="Times New Roman" w:cs="Arial"/>
                <w:sz w:val="16"/>
                <w:szCs w:val="16"/>
                <w:lang w:eastAsia="cs-CZ"/>
              </w:rPr>
              <w:t xml:space="preserve"> </w:t>
            </w:r>
            <w:r w:rsidR="00CD3DD6">
              <w:rPr>
                <w:rFonts w:eastAsia="Times New Roman" w:cs="Arial"/>
                <w:sz w:val="16"/>
                <w:szCs w:val="16"/>
                <w:lang w:eastAsia="cs-CZ"/>
              </w:rPr>
              <w:t xml:space="preserve">a </w:t>
            </w:r>
            <w:r w:rsidR="00CD3DD6" w:rsidRPr="00165185">
              <w:rPr>
                <w:rFonts w:eastAsia="Times New Roman" w:cs="Arial"/>
                <w:sz w:val="16"/>
                <w:szCs w:val="16"/>
                <w:lang w:eastAsia="cs-CZ"/>
              </w:rPr>
              <w:t xml:space="preserve">s dalšími aktéry ve vzdělávání prosazovat uveřejnění vzdělávacích digitálních obsahů nejrůznějšího charakteru, které byly podpořeny z veřejných prostředků, pod otevřenou licencí </w:t>
            </w:r>
            <w:proofErr w:type="spellStart"/>
            <w:r w:rsidR="00CD3DD6" w:rsidRPr="00165185">
              <w:rPr>
                <w:rFonts w:eastAsia="Times New Roman" w:cs="Arial"/>
                <w:sz w:val="16"/>
                <w:szCs w:val="16"/>
                <w:lang w:eastAsia="cs-CZ"/>
              </w:rPr>
              <w:t>Creative</w:t>
            </w:r>
            <w:proofErr w:type="spellEnd"/>
            <w:r w:rsidR="00CD3DD6" w:rsidRPr="00165185">
              <w:rPr>
                <w:rFonts w:eastAsia="Times New Roman" w:cs="Arial"/>
                <w:sz w:val="16"/>
                <w:szCs w:val="16"/>
                <w:lang w:eastAsia="cs-CZ"/>
              </w:rPr>
              <w:t xml:space="preserve"> </w:t>
            </w:r>
            <w:proofErr w:type="spellStart"/>
            <w:r w:rsidR="00CD3DD6" w:rsidRPr="00165185">
              <w:rPr>
                <w:rFonts w:eastAsia="Times New Roman" w:cs="Arial"/>
                <w:sz w:val="16"/>
                <w:szCs w:val="16"/>
                <w:lang w:eastAsia="cs-CZ"/>
              </w:rPr>
              <w:t>Commons</w:t>
            </w:r>
            <w:proofErr w:type="spellEnd"/>
            <w:r w:rsidR="00CD3DD6" w:rsidRPr="00165185">
              <w:rPr>
                <w:rFonts w:eastAsia="Times New Roman" w:cs="Arial"/>
                <w:sz w:val="16"/>
                <w:szCs w:val="16"/>
                <w:lang w:eastAsia="cs-CZ"/>
              </w:rPr>
              <w:t xml:space="preserve"> (příp. jinou otevřenou licencí), a tím k nim zjednodušit přístup a umožnit jejich sdílení všem aktérů</w:t>
            </w:r>
            <w:r w:rsidR="00CD3DD6">
              <w:rPr>
                <w:rFonts w:eastAsia="Times New Roman" w:cs="Arial"/>
                <w:sz w:val="16"/>
                <w:szCs w:val="16"/>
                <w:lang w:eastAsia="cs-CZ"/>
              </w:rPr>
              <w:t>m ve vzdělávání.</w:t>
            </w:r>
          </w:p>
        </w:tc>
        <w:tc>
          <w:tcPr>
            <w:tcW w:w="992"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MŠMT ve spolupráci s MK</w:t>
            </w:r>
          </w:p>
        </w:tc>
        <w:tc>
          <w:tcPr>
            <w:tcW w:w="5954" w:type="dxa"/>
            <w:tcBorders>
              <w:top w:val="nil"/>
              <w:left w:val="nil"/>
              <w:bottom w:val="single" w:sz="4" w:space="0" w:color="auto"/>
              <w:right w:val="single" w:sz="4" w:space="0" w:color="auto"/>
            </w:tcBorders>
            <w:shd w:val="clear" w:color="auto" w:fill="auto"/>
            <w:hideMark/>
          </w:tcPr>
          <w:p w:rsidR="00CD3DD6" w:rsidRDefault="00CD3DD6" w:rsidP="00165185">
            <w:pPr>
              <w:spacing w:after="0" w:line="240" w:lineRule="auto"/>
              <w:rPr>
                <w:rFonts w:eastAsia="Times New Roman" w:cs="Arial"/>
                <w:b/>
                <w:sz w:val="16"/>
                <w:szCs w:val="16"/>
                <w:lang w:eastAsia="cs-CZ"/>
              </w:rPr>
            </w:pPr>
            <w:r>
              <w:rPr>
                <w:rFonts w:eastAsia="Times New Roman" w:cs="Arial"/>
                <w:b/>
                <w:sz w:val="16"/>
                <w:szCs w:val="16"/>
                <w:lang w:eastAsia="cs-CZ"/>
              </w:rPr>
              <w:t>Pokrok</w:t>
            </w:r>
          </w:p>
          <w:p w:rsidR="00CD3DD6" w:rsidRPr="00CD3DD6" w:rsidRDefault="00CD3DD6" w:rsidP="00CD3DD6">
            <w:pPr>
              <w:spacing w:after="0" w:line="240" w:lineRule="auto"/>
              <w:rPr>
                <w:rFonts w:eastAsia="Times New Roman" w:cs="Arial"/>
                <w:sz w:val="16"/>
                <w:szCs w:val="16"/>
                <w:lang w:eastAsia="cs-CZ"/>
              </w:rPr>
            </w:pPr>
            <w:r w:rsidRPr="00CD3DD6">
              <w:rPr>
                <w:rFonts w:eastAsia="Times New Roman" w:cs="Arial"/>
                <w:sz w:val="16"/>
                <w:szCs w:val="16"/>
                <w:lang w:eastAsia="cs-CZ"/>
              </w:rPr>
              <w:t xml:space="preserve">Připravuje se uvedení pravidel o používání otevřených licencí v obecných pravidle OP VVV (říjen 2017). Plošně budou otevřené licence využívány v PO 3 (regionální školství), v PO 2 (vysoké školy) s výjimkou děl, na která se vztahu ochrana osobních údajů, ochrana patentu, bezpečnostní zájmy a veřejná podpora de </w:t>
            </w:r>
            <w:proofErr w:type="spellStart"/>
            <w:r w:rsidRPr="00CD3DD6">
              <w:rPr>
                <w:rFonts w:eastAsia="Times New Roman" w:cs="Arial"/>
                <w:sz w:val="16"/>
                <w:szCs w:val="16"/>
                <w:lang w:eastAsia="cs-CZ"/>
              </w:rPr>
              <w:t>minimis</w:t>
            </w:r>
            <w:proofErr w:type="spellEnd"/>
            <w:r w:rsidRPr="00CD3DD6">
              <w:rPr>
                <w:rFonts w:eastAsia="Times New Roman" w:cs="Arial"/>
                <w:sz w:val="16"/>
                <w:szCs w:val="16"/>
                <w:lang w:eastAsia="cs-CZ"/>
              </w:rPr>
              <w:t>. Otevřené licence nebudou uplatněny v PO 1 (Věda a výzkum)</w:t>
            </w:r>
          </w:p>
          <w:p w:rsidR="006A1628" w:rsidRPr="00C31493" w:rsidRDefault="00CD3DD6" w:rsidP="00CD3DD6">
            <w:pPr>
              <w:spacing w:after="0" w:line="240" w:lineRule="auto"/>
              <w:rPr>
                <w:rFonts w:eastAsia="Times New Roman" w:cs="Arial"/>
                <w:sz w:val="16"/>
                <w:szCs w:val="16"/>
                <w:lang w:eastAsia="cs-CZ"/>
              </w:rPr>
            </w:pPr>
            <w:r w:rsidRPr="00CD3DD6">
              <w:rPr>
                <w:rFonts w:eastAsia="Times New Roman" w:cs="Arial"/>
                <w:sz w:val="16"/>
                <w:szCs w:val="16"/>
                <w:lang w:eastAsia="cs-CZ"/>
              </w:rPr>
              <w:t>Následně budou pravidla s doporučením jejich aplikace v dalších OP předána dalším rezortům</w:t>
            </w:r>
          </w:p>
        </w:tc>
        <w:tc>
          <w:tcPr>
            <w:tcW w:w="1275" w:type="dxa"/>
            <w:tcBorders>
              <w:top w:val="nil"/>
              <w:left w:val="nil"/>
              <w:bottom w:val="single" w:sz="4" w:space="0" w:color="auto"/>
              <w:right w:val="single" w:sz="4" w:space="0" w:color="auto"/>
            </w:tcBorders>
            <w:shd w:val="clear" w:color="auto" w:fill="auto"/>
            <w:hideMark/>
          </w:tcPr>
          <w:p w:rsidR="006A1628" w:rsidRPr="00C31493" w:rsidRDefault="00CD3DD6" w:rsidP="0045041A">
            <w:pPr>
              <w:spacing w:after="0" w:line="240" w:lineRule="auto"/>
              <w:jc w:val="center"/>
              <w:rPr>
                <w:rFonts w:eastAsia="Times New Roman" w:cs="Arial"/>
                <w:sz w:val="16"/>
                <w:szCs w:val="16"/>
                <w:lang w:eastAsia="cs-CZ"/>
              </w:rPr>
            </w:pPr>
            <w:r>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6A1628" w:rsidRPr="00C31493" w:rsidRDefault="006A1628" w:rsidP="00F96ACC">
            <w:pPr>
              <w:spacing w:after="0" w:line="240" w:lineRule="auto"/>
              <w:rPr>
                <w:rFonts w:eastAsia="Times New Roman" w:cs="Arial"/>
                <w:sz w:val="16"/>
                <w:szCs w:val="16"/>
                <w:lang w:eastAsia="cs-CZ"/>
              </w:rPr>
            </w:pPr>
          </w:p>
        </w:tc>
      </w:tr>
      <w:tr w:rsidR="006A1628" w:rsidRPr="00C31493" w:rsidTr="006A1628">
        <w:trPr>
          <w:trHeight w:val="2974"/>
        </w:trPr>
        <w:tc>
          <w:tcPr>
            <w:tcW w:w="1226" w:type="dxa"/>
            <w:vMerge/>
            <w:tcBorders>
              <w:top w:val="nil"/>
              <w:left w:val="single" w:sz="4" w:space="0" w:color="auto"/>
              <w:bottom w:val="single" w:sz="4" w:space="0" w:color="auto"/>
              <w:right w:val="single" w:sz="4" w:space="0" w:color="auto"/>
            </w:tcBorders>
            <w:vAlign w:val="center"/>
            <w:hideMark/>
          </w:tcPr>
          <w:p w:rsidR="006A1628" w:rsidRPr="00C31493" w:rsidRDefault="006A1628"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 xml:space="preserve">1.1.2 V prováděcím dokumentu k připravovanému OP VVV (a dalším vlastním OP) bude smluvně zajištěno, aby materiály financované z těchto OP byly volně dostupné pod některou z licencí </w:t>
            </w:r>
            <w:proofErr w:type="spellStart"/>
            <w:r w:rsidRPr="00C31493">
              <w:rPr>
                <w:rFonts w:eastAsia="Times New Roman" w:cs="Arial"/>
                <w:sz w:val="16"/>
                <w:szCs w:val="16"/>
                <w:lang w:eastAsia="cs-CZ"/>
              </w:rPr>
              <w:t>Creative</w:t>
            </w:r>
            <w:proofErr w:type="spellEnd"/>
            <w:r w:rsidRPr="00C31493">
              <w:rPr>
                <w:rFonts w:eastAsia="Times New Roman" w:cs="Arial"/>
                <w:sz w:val="16"/>
                <w:szCs w:val="16"/>
                <w:lang w:eastAsia="cs-CZ"/>
              </w:rPr>
              <w:t xml:space="preserve"> </w:t>
            </w:r>
            <w:proofErr w:type="spellStart"/>
            <w:r w:rsidRPr="00C31493">
              <w:rPr>
                <w:rFonts w:eastAsia="Times New Roman" w:cs="Arial"/>
                <w:sz w:val="16"/>
                <w:szCs w:val="16"/>
                <w:lang w:eastAsia="cs-CZ"/>
              </w:rPr>
              <w:t>Commons</w:t>
            </w:r>
            <w:proofErr w:type="spellEnd"/>
            <w:r w:rsidRPr="00C31493">
              <w:rPr>
                <w:rFonts w:eastAsia="Times New Roman" w:cs="Arial"/>
                <w:sz w:val="16"/>
                <w:szCs w:val="16"/>
                <w:lang w:eastAsia="cs-CZ"/>
              </w:rPr>
              <w:t xml:space="preserve"> (tam, kde je to vhodné, jsou preferovány licence umožňující úpravu) nebo jinou právní ochranou. Licenční ujednání bude obsahem všech smluv s příjemci v operačních programech v období 2015–2020. MŠMT zajistí povinnost metadatových popisků u výstupů podpořených z veřejných prostředků a jejich zavedení do databáze vzdělávacích zdrojů (reputační systém, viz opatření 1.2).</w:t>
            </w:r>
          </w:p>
        </w:tc>
        <w:tc>
          <w:tcPr>
            <w:tcW w:w="992"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B93168" w:rsidP="0045041A">
            <w:pPr>
              <w:spacing w:after="0" w:line="240" w:lineRule="auto"/>
              <w:rPr>
                <w:rFonts w:eastAsia="Times New Roman" w:cs="Arial"/>
                <w:b/>
                <w:sz w:val="16"/>
                <w:szCs w:val="16"/>
                <w:lang w:eastAsia="cs-CZ"/>
              </w:rPr>
            </w:pPr>
            <w:r>
              <w:rPr>
                <w:rFonts w:eastAsia="Times New Roman" w:cs="Arial"/>
                <w:b/>
                <w:sz w:val="16"/>
                <w:szCs w:val="16"/>
                <w:lang w:eastAsia="cs-CZ"/>
              </w:rPr>
              <w:t>P</w:t>
            </w:r>
            <w:r w:rsidR="006A1628" w:rsidRPr="004E5BB3">
              <w:rPr>
                <w:rFonts w:eastAsia="Times New Roman" w:cs="Arial"/>
                <w:b/>
                <w:sz w:val="16"/>
                <w:szCs w:val="16"/>
                <w:lang w:eastAsia="cs-CZ"/>
              </w:rPr>
              <w:t>okrok</w:t>
            </w:r>
          </w:p>
          <w:p w:rsidR="006A1628" w:rsidRDefault="006A1628" w:rsidP="00165185">
            <w:pPr>
              <w:spacing w:after="0" w:line="240" w:lineRule="auto"/>
              <w:rPr>
                <w:rFonts w:eastAsia="Times New Roman" w:cs="Arial"/>
                <w:sz w:val="16"/>
                <w:szCs w:val="16"/>
                <w:lang w:eastAsia="cs-CZ"/>
              </w:rPr>
            </w:pPr>
            <w:r>
              <w:rPr>
                <w:rFonts w:eastAsia="Times New Roman" w:cs="Arial"/>
                <w:sz w:val="16"/>
                <w:szCs w:val="16"/>
                <w:lang w:eastAsia="cs-CZ"/>
              </w:rPr>
              <w:t>B</w:t>
            </w:r>
            <w:r w:rsidRPr="00165185">
              <w:rPr>
                <w:rFonts w:eastAsia="Times New Roman" w:cs="Arial"/>
                <w:sz w:val="16"/>
                <w:szCs w:val="16"/>
                <w:lang w:eastAsia="cs-CZ"/>
              </w:rPr>
              <w:t xml:space="preserve">yla zpracována „Kritéria kvality digitálních vzdělávacích zdrojů podpořených z veřejných rozpočtů“. Tato kritéria jsou součástí specifických pravidel ve </w:t>
            </w:r>
            <w:r w:rsidR="009C1AC6">
              <w:rPr>
                <w:rFonts w:eastAsia="Times New Roman" w:cs="Arial"/>
                <w:sz w:val="16"/>
                <w:szCs w:val="16"/>
                <w:lang w:eastAsia="cs-CZ"/>
              </w:rPr>
              <w:t xml:space="preserve">vybraných </w:t>
            </w:r>
            <w:r w:rsidRPr="00165185">
              <w:rPr>
                <w:rFonts w:eastAsia="Times New Roman" w:cs="Arial"/>
                <w:sz w:val="16"/>
                <w:szCs w:val="16"/>
                <w:lang w:eastAsia="cs-CZ"/>
              </w:rPr>
              <w:t>výzvách OP VVV</w:t>
            </w:r>
            <w:r>
              <w:rPr>
                <w:rFonts w:eastAsia="Times New Roman" w:cs="Arial"/>
                <w:sz w:val="16"/>
                <w:szCs w:val="16"/>
                <w:lang w:eastAsia="cs-CZ"/>
              </w:rPr>
              <w:t xml:space="preserve"> v PO3</w:t>
            </w:r>
            <w:r w:rsidRPr="00165185">
              <w:rPr>
                <w:rFonts w:eastAsia="Times New Roman" w:cs="Arial"/>
                <w:sz w:val="16"/>
                <w:szCs w:val="16"/>
                <w:lang w:eastAsia="cs-CZ"/>
              </w:rPr>
              <w:t>. Budou zapracována do Pravidel pro žadatele a příjemce - obecné části při nej</w:t>
            </w:r>
            <w:r w:rsidR="00EE7E68">
              <w:rPr>
                <w:rFonts w:eastAsia="Times New Roman" w:cs="Arial"/>
                <w:sz w:val="16"/>
                <w:szCs w:val="16"/>
                <w:lang w:eastAsia="cs-CZ"/>
              </w:rPr>
              <w:t>bližší jejich aktualizaci (říjen</w:t>
            </w:r>
            <w:r w:rsidRPr="00165185">
              <w:rPr>
                <w:rFonts w:eastAsia="Times New Roman" w:cs="Arial"/>
                <w:sz w:val="16"/>
                <w:szCs w:val="16"/>
                <w:lang w:eastAsia="cs-CZ"/>
              </w:rPr>
              <w:t xml:space="preserve"> 2017).</w:t>
            </w:r>
            <w:r w:rsidR="00EE7E68">
              <w:rPr>
                <w:rFonts w:eastAsia="Times New Roman" w:cs="Arial"/>
                <w:sz w:val="16"/>
                <w:szCs w:val="16"/>
                <w:lang w:eastAsia="cs-CZ"/>
              </w:rPr>
              <w:t xml:space="preserve"> </w:t>
            </w:r>
            <w:r w:rsidR="00EE7E68" w:rsidRPr="00CD3DD6">
              <w:rPr>
                <w:rFonts w:eastAsia="Times New Roman" w:cs="Arial"/>
                <w:sz w:val="16"/>
                <w:szCs w:val="16"/>
                <w:lang w:eastAsia="cs-CZ"/>
              </w:rPr>
              <w:t xml:space="preserve">Plošně budou otevřené licence využívány v PO 3 (regionální školství), v PO 2 (vysoké školy) s výjimkou děl, na která se vztahu ochrana osobních údajů, ochrana patentu, bezpečnostní zájmy a veřejná podpora de </w:t>
            </w:r>
            <w:proofErr w:type="spellStart"/>
            <w:r w:rsidR="00EE7E68" w:rsidRPr="00CD3DD6">
              <w:rPr>
                <w:rFonts w:eastAsia="Times New Roman" w:cs="Arial"/>
                <w:sz w:val="16"/>
                <w:szCs w:val="16"/>
                <w:lang w:eastAsia="cs-CZ"/>
              </w:rPr>
              <w:t>minimis</w:t>
            </w:r>
            <w:proofErr w:type="spellEnd"/>
            <w:r w:rsidR="00EE7E68" w:rsidRPr="00CD3DD6">
              <w:rPr>
                <w:rFonts w:eastAsia="Times New Roman" w:cs="Arial"/>
                <w:sz w:val="16"/>
                <w:szCs w:val="16"/>
                <w:lang w:eastAsia="cs-CZ"/>
              </w:rPr>
              <w:t>. Otevřené licence nebudou uplatněny v PO 1 (Věda a výzkum)</w:t>
            </w:r>
          </w:p>
          <w:p w:rsidR="006A1628" w:rsidRDefault="00EE7E68" w:rsidP="00EE7E68">
            <w:pPr>
              <w:spacing w:after="0" w:line="240" w:lineRule="auto"/>
              <w:rPr>
                <w:rFonts w:eastAsia="Times New Roman" w:cs="Arial"/>
                <w:sz w:val="16"/>
                <w:szCs w:val="16"/>
                <w:lang w:eastAsia="cs-CZ"/>
              </w:rPr>
            </w:pPr>
            <w:r w:rsidRPr="00EE7E68">
              <w:rPr>
                <w:rFonts w:eastAsia="Times New Roman" w:cs="Arial"/>
                <w:sz w:val="16"/>
                <w:szCs w:val="16"/>
                <w:lang w:eastAsia="cs-CZ"/>
              </w:rPr>
              <w:t>Zveřejňování dalších materiálů MŠMT pod otevřenou licencí bude domluveno na společné schůzce pracovníků SDV, DZS, NUV, NIDV, ČŠI aj. zde bude projednáno doporučení, které vytvoří pracovní skupina SDV pro zveřejňování materiálů pod otevřenou licencí a bude následovat rok pilotního ověřování. Na základě pilotního ověřování by následoval případný příkaz PM k uveřejňování materiálů vzniklých z prostředků MŠMT pod otevřenou licencí.</w:t>
            </w:r>
          </w:p>
          <w:p w:rsidR="00B93168" w:rsidRDefault="00B93168" w:rsidP="00EE7E68">
            <w:pPr>
              <w:spacing w:after="0" w:line="240" w:lineRule="auto"/>
              <w:rPr>
                <w:rFonts w:eastAsia="Times New Roman" w:cs="Arial"/>
                <w:sz w:val="16"/>
                <w:szCs w:val="16"/>
                <w:lang w:eastAsia="cs-CZ"/>
              </w:rPr>
            </w:pPr>
          </w:p>
          <w:p w:rsidR="00B93168" w:rsidRPr="00B93168" w:rsidRDefault="00B93168" w:rsidP="00B93168">
            <w:pPr>
              <w:spacing w:after="0" w:line="240" w:lineRule="auto"/>
              <w:rPr>
                <w:rFonts w:eastAsia="Times New Roman" w:cs="Arial"/>
                <w:sz w:val="16"/>
                <w:szCs w:val="16"/>
                <w:lang w:eastAsia="cs-CZ"/>
              </w:rPr>
            </w:pPr>
            <w:r w:rsidRPr="00B93168">
              <w:rPr>
                <w:rFonts w:eastAsia="Times New Roman" w:cs="Arial"/>
                <w:sz w:val="16"/>
                <w:szCs w:val="16"/>
                <w:lang w:eastAsia="cs-CZ"/>
              </w:rPr>
              <w:t xml:space="preserve">Metadatové popisky budou vytvořeny v projektu „Podpora práce učitelů“ (projekt realizuje NUV od </w:t>
            </w:r>
            <w:proofErr w:type="gramStart"/>
            <w:r w:rsidRPr="00B93168">
              <w:rPr>
                <w:rFonts w:eastAsia="Times New Roman" w:cs="Arial"/>
                <w:sz w:val="16"/>
                <w:szCs w:val="16"/>
                <w:lang w:eastAsia="cs-CZ"/>
              </w:rPr>
              <w:t>1.12.2016</w:t>
            </w:r>
            <w:proofErr w:type="gramEnd"/>
            <w:r w:rsidRPr="00B93168">
              <w:rPr>
                <w:rFonts w:eastAsia="Times New Roman" w:cs="Arial"/>
                <w:sz w:val="16"/>
                <w:szCs w:val="16"/>
                <w:lang w:eastAsia="cs-CZ"/>
              </w:rPr>
              <w:t xml:space="preserve">) a následně uplatněny na výstupy projektů (k 30. 6. 2021). </w:t>
            </w:r>
          </w:p>
          <w:p w:rsidR="00B93168" w:rsidRPr="00B93168" w:rsidRDefault="00B93168" w:rsidP="00B93168">
            <w:pPr>
              <w:spacing w:after="0" w:line="240" w:lineRule="auto"/>
              <w:rPr>
                <w:rFonts w:eastAsia="Times New Roman" w:cs="Arial"/>
                <w:sz w:val="16"/>
                <w:szCs w:val="16"/>
                <w:lang w:eastAsia="cs-CZ"/>
              </w:rPr>
            </w:pPr>
            <w:r w:rsidRPr="00B93168">
              <w:rPr>
                <w:rFonts w:eastAsia="Times New Roman" w:cs="Arial"/>
                <w:sz w:val="16"/>
                <w:szCs w:val="16"/>
                <w:lang w:eastAsia="cs-CZ"/>
              </w:rPr>
              <w:t xml:space="preserve">Databáze vzdělávacích zdrojů www.rvp.cz bude v projektu PPUČ doplněna o reputační systém (k 30. 6. 2021). </w:t>
            </w:r>
          </w:p>
          <w:p w:rsidR="00B93168" w:rsidRPr="00EE7E68" w:rsidRDefault="00B93168" w:rsidP="00B93168">
            <w:pPr>
              <w:spacing w:after="0" w:line="240" w:lineRule="auto"/>
              <w:rPr>
                <w:rFonts w:eastAsia="Times New Roman" w:cs="Arial"/>
                <w:sz w:val="16"/>
                <w:szCs w:val="16"/>
                <w:lang w:eastAsia="cs-CZ"/>
              </w:rPr>
            </w:pPr>
            <w:r w:rsidRPr="00B93168">
              <w:rPr>
                <w:rFonts w:eastAsia="Times New Roman" w:cs="Arial"/>
                <w:sz w:val="16"/>
                <w:szCs w:val="16"/>
                <w:lang w:eastAsia="cs-CZ"/>
              </w:rPr>
              <w:t>V této databázi budou zveřejňovány všechny odpovídající výstupy projektů OP VVV.</w:t>
            </w:r>
          </w:p>
        </w:tc>
        <w:tc>
          <w:tcPr>
            <w:tcW w:w="1275"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jc w:val="center"/>
              <w:rPr>
                <w:rFonts w:eastAsia="Times New Roman" w:cs="Arial"/>
                <w:sz w:val="16"/>
                <w:szCs w:val="16"/>
                <w:lang w:eastAsia="cs-CZ"/>
              </w:rPr>
            </w:pPr>
            <w:r w:rsidRPr="00C31493">
              <w:rPr>
                <w:rFonts w:eastAsia="Times New Roman" w:cs="Arial"/>
                <w:sz w:val="16"/>
                <w:szCs w:val="16"/>
                <w:lang w:eastAsia="cs-CZ"/>
              </w:rPr>
              <w:t>31.</w:t>
            </w:r>
            <w:r>
              <w:rPr>
                <w:rFonts w:eastAsia="Times New Roman" w:cs="Arial"/>
                <w:sz w:val="16"/>
                <w:szCs w:val="16"/>
                <w:lang w:eastAsia="cs-CZ"/>
              </w:rPr>
              <w:t xml:space="preserve"> </w:t>
            </w:r>
            <w:r w:rsidRPr="00C31493">
              <w:rPr>
                <w:rFonts w:eastAsia="Times New Roman" w:cs="Arial"/>
                <w:sz w:val="16"/>
                <w:szCs w:val="16"/>
                <w:lang w:eastAsia="cs-CZ"/>
              </w:rPr>
              <w:t>12.</w:t>
            </w:r>
            <w:r w:rsidR="00EE7E68">
              <w:rPr>
                <w:rFonts w:eastAsia="Times New Roman" w:cs="Arial"/>
                <w:sz w:val="16"/>
                <w:szCs w:val="16"/>
                <w:lang w:eastAsia="cs-CZ"/>
              </w:rPr>
              <w:t xml:space="preserve"> 2017</w:t>
            </w:r>
          </w:p>
        </w:tc>
        <w:tc>
          <w:tcPr>
            <w:tcW w:w="2835"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p>
        </w:tc>
      </w:tr>
      <w:tr w:rsidR="006A1628" w:rsidRPr="00C31493" w:rsidTr="006A1628">
        <w:trPr>
          <w:trHeight w:val="1350"/>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 xml:space="preserve">1.2 Vytvoření recenzního systému pro hodnocení a doporučování kvality </w:t>
            </w:r>
            <w:r w:rsidRPr="00C31493">
              <w:rPr>
                <w:rFonts w:eastAsia="Times New Roman" w:cs="Arial"/>
                <w:sz w:val="16"/>
                <w:szCs w:val="16"/>
                <w:lang w:eastAsia="cs-CZ"/>
              </w:rPr>
              <w:lastRenderedPageBreak/>
              <w:t>otevřených vzdělávacích zdrojů</w:t>
            </w:r>
          </w:p>
        </w:tc>
        <w:tc>
          <w:tcPr>
            <w:tcW w:w="3027"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lastRenderedPageBreak/>
              <w:t>1.2.1 Úpravy, rozvoj a provoz Metodického portálu RVP.CZ, tak aby splňoval podmínky na moderní reputační systém podporující učící se komunity a jejich síťování, zohlednit např. stávající Databázi výstupů projektů OP VK.</w:t>
            </w:r>
          </w:p>
        </w:tc>
        <w:tc>
          <w:tcPr>
            <w:tcW w:w="992"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MŠMT, NÚV</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6A1628" w:rsidP="0045041A">
            <w:pPr>
              <w:spacing w:after="0" w:line="240" w:lineRule="auto"/>
              <w:rPr>
                <w:rFonts w:eastAsia="Times New Roman" w:cs="Arial"/>
                <w:b/>
                <w:sz w:val="16"/>
                <w:szCs w:val="16"/>
                <w:lang w:eastAsia="cs-CZ"/>
              </w:rPr>
            </w:pPr>
            <w:r w:rsidRPr="004E5BB3">
              <w:rPr>
                <w:rFonts w:eastAsia="Times New Roman" w:cs="Arial"/>
                <w:b/>
                <w:sz w:val="16"/>
                <w:szCs w:val="16"/>
                <w:lang w:eastAsia="cs-CZ"/>
              </w:rPr>
              <w:t>Pokrok</w:t>
            </w:r>
          </w:p>
          <w:p w:rsidR="006A1628" w:rsidRPr="00C31493" w:rsidRDefault="006A1628" w:rsidP="00B93168">
            <w:pPr>
              <w:spacing w:after="0" w:line="240" w:lineRule="auto"/>
              <w:rPr>
                <w:rFonts w:eastAsia="Times New Roman" w:cs="Arial"/>
                <w:sz w:val="16"/>
                <w:szCs w:val="16"/>
                <w:lang w:eastAsia="cs-CZ"/>
              </w:rPr>
            </w:pPr>
            <w:r w:rsidRPr="001108AE">
              <w:rPr>
                <w:rFonts w:eastAsia="Times New Roman" w:cs="Arial"/>
                <w:sz w:val="16"/>
                <w:szCs w:val="16"/>
                <w:lang w:eastAsia="cs-CZ"/>
              </w:rPr>
              <w:t>Na příp</w:t>
            </w:r>
            <w:r w:rsidR="00B93168">
              <w:rPr>
                <w:rFonts w:eastAsia="Times New Roman" w:cs="Arial"/>
                <w:sz w:val="16"/>
                <w:szCs w:val="16"/>
                <w:lang w:eastAsia="cs-CZ"/>
              </w:rPr>
              <w:t>ravě reputačního systému a modernizaci Metodického portálu rvp.cz pracuje</w:t>
            </w:r>
            <w:r w:rsidRPr="001108AE">
              <w:rPr>
                <w:rFonts w:eastAsia="Times New Roman" w:cs="Arial"/>
                <w:sz w:val="16"/>
                <w:szCs w:val="16"/>
                <w:lang w:eastAsia="cs-CZ"/>
              </w:rPr>
              <w:t xml:space="preserve"> interní pracovní skupina </w:t>
            </w:r>
            <w:proofErr w:type="spellStart"/>
            <w:r w:rsidR="009C1AC6">
              <w:rPr>
                <w:rFonts w:eastAsia="Times New Roman" w:cs="Arial"/>
                <w:sz w:val="16"/>
                <w:szCs w:val="16"/>
                <w:lang w:eastAsia="cs-CZ"/>
              </w:rPr>
              <w:t>IPs</w:t>
            </w:r>
            <w:proofErr w:type="spellEnd"/>
            <w:r w:rsidR="009C1AC6">
              <w:rPr>
                <w:rFonts w:eastAsia="Times New Roman" w:cs="Arial"/>
                <w:sz w:val="16"/>
                <w:szCs w:val="16"/>
                <w:lang w:eastAsia="cs-CZ"/>
              </w:rPr>
              <w:t xml:space="preserve"> OP VVV Podpora práce učitelů</w:t>
            </w:r>
            <w:r w:rsidR="00B93168">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6A1628" w:rsidRPr="00C31493" w:rsidRDefault="00B93168"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31.12.2018</w:t>
            </w:r>
            <w:proofErr w:type="gramEnd"/>
          </w:p>
        </w:tc>
        <w:tc>
          <w:tcPr>
            <w:tcW w:w="2835"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p>
        </w:tc>
      </w:tr>
      <w:tr w:rsidR="006A1628" w:rsidRPr="00C31493" w:rsidTr="006A1628">
        <w:trPr>
          <w:trHeight w:val="900"/>
        </w:trPr>
        <w:tc>
          <w:tcPr>
            <w:tcW w:w="1226" w:type="dxa"/>
            <w:vMerge/>
            <w:tcBorders>
              <w:top w:val="nil"/>
              <w:left w:val="single" w:sz="4" w:space="0" w:color="auto"/>
              <w:bottom w:val="single" w:sz="4" w:space="0" w:color="auto"/>
              <w:right w:val="single" w:sz="4" w:space="0" w:color="auto"/>
            </w:tcBorders>
            <w:vAlign w:val="center"/>
            <w:hideMark/>
          </w:tcPr>
          <w:p w:rsidR="006A1628" w:rsidRPr="00C31493" w:rsidRDefault="006A1628"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1.2.2 Zajištění popisu (</w:t>
            </w:r>
            <w:proofErr w:type="spellStart"/>
            <w:r w:rsidRPr="00C31493">
              <w:rPr>
                <w:rFonts w:eastAsia="Times New Roman" w:cs="Arial"/>
                <w:sz w:val="16"/>
                <w:szCs w:val="16"/>
                <w:lang w:eastAsia="cs-CZ"/>
              </w:rPr>
              <w:t>metadata</w:t>
            </w:r>
            <w:proofErr w:type="spellEnd"/>
            <w:r w:rsidRPr="00C31493">
              <w:rPr>
                <w:rFonts w:eastAsia="Times New Roman" w:cs="Arial"/>
                <w:sz w:val="16"/>
                <w:szCs w:val="16"/>
                <w:lang w:eastAsia="cs-CZ"/>
              </w:rPr>
              <w:t>) všech otevřených digitálních zdrojů vzniklých z veřejných prostředků a jejich indexace v reputačním systému.</w:t>
            </w:r>
          </w:p>
        </w:tc>
        <w:tc>
          <w:tcPr>
            <w:tcW w:w="992"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MŠMT, NÚV</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6A1628" w:rsidP="002C4C41">
            <w:pPr>
              <w:spacing w:after="0" w:line="240" w:lineRule="auto"/>
              <w:rPr>
                <w:rFonts w:eastAsia="Times New Roman" w:cs="Arial"/>
                <w:b/>
                <w:sz w:val="16"/>
                <w:szCs w:val="16"/>
                <w:lang w:eastAsia="cs-CZ"/>
              </w:rPr>
            </w:pPr>
            <w:r w:rsidRPr="004E5BB3">
              <w:rPr>
                <w:rFonts w:eastAsia="Times New Roman" w:cs="Arial"/>
                <w:b/>
                <w:sz w:val="16"/>
                <w:szCs w:val="16"/>
                <w:lang w:eastAsia="cs-CZ"/>
              </w:rPr>
              <w:t>Pokrok</w:t>
            </w:r>
          </w:p>
          <w:p w:rsidR="006A1628" w:rsidRPr="00C31493" w:rsidRDefault="002A3A5D" w:rsidP="002C4C41">
            <w:pPr>
              <w:spacing w:after="0" w:line="240" w:lineRule="auto"/>
              <w:rPr>
                <w:rFonts w:eastAsia="Times New Roman" w:cs="Arial"/>
                <w:sz w:val="16"/>
                <w:szCs w:val="16"/>
                <w:lang w:eastAsia="cs-CZ"/>
              </w:rPr>
            </w:pPr>
            <w:r w:rsidRPr="001108AE">
              <w:rPr>
                <w:rFonts w:eastAsia="Times New Roman" w:cs="Arial"/>
                <w:sz w:val="16"/>
                <w:szCs w:val="16"/>
                <w:lang w:eastAsia="cs-CZ"/>
              </w:rPr>
              <w:t>Na příp</w:t>
            </w:r>
            <w:r>
              <w:rPr>
                <w:rFonts w:eastAsia="Times New Roman" w:cs="Arial"/>
                <w:sz w:val="16"/>
                <w:szCs w:val="16"/>
                <w:lang w:eastAsia="cs-CZ"/>
              </w:rPr>
              <w:t>ravě reputačního systému a modernizaci Metodického portálu rvp.cz pracuje</w:t>
            </w:r>
            <w:r w:rsidRPr="001108AE">
              <w:rPr>
                <w:rFonts w:eastAsia="Times New Roman" w:cs="Arial"/>
                <w:sz w:val="16"/>
                <w:szCs w:val="16"/>
                <w:lang w:eastAsia="cs-CZ"/>
              </w:rPr>
              <w:t xml:space="preserve"> interní pracovní skupina </w:t>
            </w:r>
            <w:proofErr w:type="spellStart"/>
            <w:r>
              <w:rPr>
                <w:rFonts w:eastAsia="Times New Roman" w:cs="Arial"/>
                <w:sz w:val="16"/>
                <w:szCs w:val="16"/>
                <w:lang w:eastAsia="cs-CZ"/>
              </w:rPr>
              <w:t>IPs</w:t>
            </w:r>
            <w:proofErr w:type="spellEnd"/>
            <w:r>
              <w:rPr>
                <w:rFonts w:eastAsia="Times New Roman" w:cs="Arial"/>
                <w:sz w:val="16"/>
                <w:szCs w:val="16"/>
                <w:lang w:eastAsia="cs-CZ"/>
              </w:rPr>
              <w:t xml:space="preserve"> OP VVV Podpora práce učitelů. Probíhají jednání s ŘO OP VVV k</w:t>
            </w:r>
            <w:r w:rsidR="006A1628" w:rsidRPr="00126325">
              <w:rPr>
                <w:rFonts w:eastAsia="Times New Roman" w:cs="Arial"/>
                <w:sz w:val="16"/>
                <w:szCs w:val="16"/>
                <w:lang w:eastAsia="cs-CZ"/>
              </w:rPr>
              <w:t xml:space="preserve"> provázání budoucí databáze výstupů OP VVV s reputačním systémem.</w:t>
            </w:r>
          </w:p>
        </w:tc>
        <w:tc>
          <w:tcPr>
            <w:tcW w:w="1275"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jc w:val="center"/>
              <w:rPr>
                <w:rFonts w:eastAsia="Times New Roman" w:cs="Arial"/>
                <w:sz w:val="16"/>
                <w:szCs w:val="16"/>
                <w:lang w:eastAsia="cs-CZ"/>
              </w:rPr>
            </w:pPr>
            <w:r w:rsidRPr="00C31493">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 </w:t>
            </w:r>
          </w:p>
        </w:tc>
      </w:tr>
      <w:tr w:rsidR="006A1628" w:rsidRPr="00C31493" w:rsidTr="00790F57">
        <w:trPr>
          <w:trHeight w:val="70"/>
        </w:trPr>
        <w:tc>
          <w:tcPr>
            <w:tcW w:w="1226" w:type="dxa"/>
            <w:vMerge/>
            <w:tcBorders>
              <w:top w:val="nil"/>
              <w:left w:val="single" w:sz="4" w:space="0" w:color="auto"/>
              <w:bottom w:val="single" w:sz="4" w:space="0" w:color="auto"/>
              <w:right w:val="single" w:sz="4" w:space="0" w:color="auto"/>
            </w:tcBorders>
            <w:vAlign w:val="center"/>
            <w:hideMark/>
          </w:tcPr>
          <w:p w:rsidR="006A1628" w:rsidRPr="00C31493" w:rsidRDefault="006A1628"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6A1628" w:rsidRPr="00C31493" w:rsidRDefault="006A1628" w:rsidP="00586679">
            <w:pPr>
              <w:spacing w:after="0" w:line="240" w:lineRule="auto"/>
              <w:rPr>
                <w:rFonts w:eastAsia="Times New Roman" w:cs="Arial"/>
                <w:sz w:val="16"/>
                <w:szCs w:val="16"/>
                <w:lang w:eastAsia="cs-CZ"/>
              </w:rPr>
            </w:pPr>
            <w:r w:rsidRPr="00C31493">
              <w:rPr>
                <w:rFonts w:eastAsia="Times New Roman" w:cs="Arial"/>
                <w:sz w:val="16"/>
                <w:szCs w:val="16"/>
                <w:lang w:eastAsia="cs-CZ"/>
              </w:rPr>
              <w:t xml:space="preserve">1.2.3 Modernizace centralizované on-line nabídky </w:t>
            </w:r>
            <w:r w:rsidR="00586679" w:rsidRPr="00586679">
              <w:rPr>
                <w:rFonts w:eastAsia="Times New Roman" w:cs="Arial"/>
                <w:sz w:val="16"/>
                <w:szCs w:val="16"/>
                <w:lang w:eastAsia="cs-CZ"/>
              </w:rPr>
              <w:t xml:space="preserve">akreditovaných vzdělávacích programů </w:t>
            </w:r>
            <w:r w:rsidRPr="00C31493">
              <w:rPr>
                <w:rFonts w:eastAsia="Times New Roman" w:cs="Arial"/>
                <w:sz w:val="16"/>
                <w:szCs w:val="16"/>
                <w:lang w:eastAsia="cs-CZ"/>
              </w:rPr>
              <w:t>a její rozšíření o hodnocení účastníky.</w:t>
            </w:r>
          </w:p>
        </w:tc>
        <w:tc>
          <w:tcPr>
            <w:tcW w:w="992"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2A3A5D" w:rsidP="007576E7">
            <w:pPr>
              <w:spacing w:after="0" w:line="240" w:lineRule="auto"/>
              <w:rPr>
                <w:rFonts w:eastAsia="Times New Roman" w:cs="Arial"/>
                <w:b/>
                <w:sz w:val="16"/>
                <w:szCs w:val="16"/>
                <w:lang w:eastAsia="cs-CZ"/>
              </w:rPr>
            </w:pPr>
            <w:r>
              <w:rPr>
                <w:rFonts w:eastAsia="Times New Roman" w:cs="Arial"/>
                <w:b/>
                <w:sz w:val="16"/>
                <w:szCs w:val="16"/>
                <w:lang w:eastAsia="cs-CZ"/>
              </w:rPr>
              <w:t>P</w:t>
            </w:r>
            <w:r w:rsidR="006A1628" w:rsidRPr="004E5BB3">
              <w:rPr>
                <w:rFonts w:eastAsia="Times New Roman" w:cs="Arial"/>
                <w:b/>
                <w:sz w:val="16"/>
                <w:szCs w:val="16"/>
                <w:lang w:eastAsia="cs-CZ"/>
              </w:rPr>
              <w:t>okrok</w:t>
            </w:r>
          </w:p>
          <w:p w:rsidR="002A3A5D" w:rsidRPr="002A3A5D" w:rsidRDefault="006A1628" w:rsidP="002A3A5D">
            <w:pPr>
              <w:spacing w:after="0" w:line="240" w:lineRule="auto"/>
              <w:rPr>
                <w:rFonts w:eastAsia="Times New Roman" w:cs="Arial"/>
                <w:sz w:val="16"/>
                <w:szCs w:val="16"/>
                <w:lang w:eastAsia="cs-CZ"/>
              </w:rPr>
            </w:pPr>
            <w:r>
              <w:rPr>
                <w:rFonts w:eastAsia="Times New Roman" w:cs="Arial"/>
                <w:sz w:val="16"/>
                <w:szCs w:val="16"/>
                <w:lang w:eastAsia="cs-CZ"/>
              </w:rPr>
              <w:t xml:space="preserve">Bylo rozhodnuto modernizovat IS </w:t>
            </w:r>
            <w:r w:rsidRPr="005F6261">
              <w:rPr>
                <w:rFonts w:eastAsia="Times New Roman" w:cs="Arial"/>
                <w:sz w:val="16"/>
                <w:szCs w:val="16"/>
                <w:lang w:eastAsia="cs-CZ"/>
              </w:rPr>
              <w:t>“Akredis“ (https://akredis.msmt.cz/), který byl vytvořen v rámci IPN OP VK -UNIV 3 a je nyní využíván pro oblast DV</w:t>
            </w:r>
            <w:r>
              <w:rPr>
                <w:rFonts w:eastAsia="Times New Roman" w:cs="Arial"/>
                <w:sz w:val="16"/>
                <w:szCs w:val="16"/>
                <w:lang w:eastAsia="cs-CZ"/>
              </w:rPr>
              <w:t xml:space="preserve"> </w:t>
            </w:r>
            <w:r w:rsidRPr="005F6261">
              <w:rPr>
                <w:rFonts w:eastAsia="Times New Roman" w:cs="Arial"/>
                <w:sz w:val="16"/>
                <w:szCs w:val="16"/>
                <w:lang w:eastAsia="cs-CZ"/>
              </w:rPr>
              <w:t>(rekvalifikace)</w:t>
            </w:r>
            <w:r w:rsidR="00E503F5">
              <w:rPr>
                <w:rFonts w:eastAsia="Times New Roman" w:cs="Arial"/>
                <w:sz w:val="16"/>
                <w:szCs w:val="16"/>
                <w:lang w:eastAsia="cs-CZ"/>
              </w:rPr>
              <w:t xml:space="preserve">. </w:t>
            </w:r>
            <w:r w:rsidR="002A3A5D" w:rsidRPr="002A3A5D">
              <w:rPr>
                <w:rFonts w:eastAsia="Times New Roman" w:cs="Arial"/>
                <w:sz w:val="16"/>
                <w:szCs w:val="16"/>
                <w:lang w:eastAsia="cs-CZ"/>
              </w:rPr>
              <w:t>IS Akredis obsahuje i modul centrální nabídky DVPP, tento modul se upravuje.</w:t>
            </w:r>
          </w:p>
          <w:p w:rsidR="002A3A5D" w:rsidRPr="002A3A5D" w:rsidRDefault="002A3A5D" w:rsidP="002A3A5D">
            <w:pPr>
              <w:spacing w:after="0" w:line="240" w:lineRule="auto"/>
              <w:rPr>
                <w:rFonts w:eastAsia="Times New Roman" w:cs="Arial"/>
                <w:sz w:val="16"/>
                <w:szCs w:val="16"/>
                <w:lang w:eastAsia="cs-CZ"/>
              </w:rPr>
            </w:pPr>
            <w:r w:rsidRPr="002A3A5D">
              <w:rPr>
                <w:rFonts w:eastAsia="Times New Roman" w:cs="Arial"/>
                <w:sz w:val="16"/>
                <w:szCs w:val="16"/>
                <w:lang w:eastAsia="cs-CZ"/>
              </w:rPr>
              <w:t xml:space="preserve">Na základě jednání s firmou </w:t>
            </w:r>
            <w:proofErr w:type="spellStart"/>
            <w:r w:rsidRPr="002A3A5D">
              <w:rPr>
                <w:rFonts w:eastAsia="Times New Roman" w:cs="Arial"/>
                <w:sz w:val="16"/>
                <w:szCs w:val="16"/>
                <w:lang w:eastAsia="cs-CZ"/>
              </w:rPr>
              <w:t>Marbes</w:t>
            </w:r>
            <w:proofErr w:type="spellEnd"/>
            <w:r w:rsidRPr="002A3A5D">
              <w:rPr>
                <w:rFonts w:eastAsia="Times New Roman" w:cs="Arial"/>
                <w:sz w:val="16"/>
                <w:szCs w:val="16"/>
                <w:lang w:eastAsia="cs-CZ"/>
              </w:rPr>
              <w:t xml:space="preserve"> </w:t>
            </w:r>
            <w:proofErr w:type="spellStart"/>
            <w:r w:rsidRPr="002A3A5D">
              <w:rPr>
                <w:rFonts w:eastAsia="Times New Roman" w:cs="Arial"/>
                <w:sz w:val="16"/>
                <w:szCs w:val="16"/>
                <w:lang w:eastAsia="cs-CZ"/>
              </w:rPr>
              <w:t>Counsulting</w:t>
            </w:r>
            <w:proofErr w:type="spellEnd"/>
            <w:r w:rsidRPr="002A3A5D">
              <w:rPr>
                <w:rFonts w:eastAsia="Times New Roman" w:cs="Arial"/>
                <w:sz w:val="16"/>
                <w:szCs w:val="16"/>
                <w:lang w:eastAsia="cs-CZ"/>
              </w:rPr>
              <w:t xml:space="preserve"> byla všechna licenční oprávnění převedena na NUV</w:t>
            </w:r>
          </w:p>
          <w:p w:rsidR="002A3A5D" w:rsidRPr="00C31493" w:rsidRDefault="002A3A5D" w:rsidP="002A3A5D">
            <w:pPr>
              <w:spacing w:after="0" w:line="240" w:lineRule="auto"/>
              <w:rPr>
                <w:rFonts w:eastAsia="Times New Roman" w:cs="Arial"/>
                <w:sz w:val="16"/>
                <w:szCs w:val="16"/>
                <w:lang w:eastAsia="cs-CZ"/>
              </w:rPr>
            </w:pPr>
            <w:r>
              <w:rPr>
                <w:rFonts w:eastAsia="Times New Roman" w:cs="Arial"/>
                <w:sz w:val="16"/>
                <w:szCs w:val="16"/>
                <w:lang w:eastAsia="cs-CZ"/>
              </w:rPr>
              <w:t>Aktuálně  NUV</w:t>
            </w:r>
            <w:r w:rsidRPr="002A3A5D">
              <w:rPr>
                <w:rFonts w:eastAsia="Times New Roman" w:cs="Arial"/>
                <w:sz w:val="16"/>
                <w:szCs w:val="16"/>
                <w:lang w:eastAsia="cs-CZ"/>
              </w:rPr>
              <w:t xml:space="preserve"> pracuje na upravené verzi IS Akredis</w:t>
            </w:r>
          </w:p>
        </w:tc>
        <w:tc>
          <w:tcPr>
            <w:tcW w:w="1275" w:type="dxa"/>
            <w:tcBorders>
              <w:top w:val="nil"/>
              <w:left w:val="nil"/>
              <w:bottom w:val="single" w:sz="4" w:space="0" w:color="auto"/>
              <w:right w:val="single" w:sz="4" w:space="0" w:color="auto"/>
            </w:tcBorders>
            <w:shd w:val="clear" w:color="auto" w:fill="auto"/>
            <w:hideMark/>
          </w:tcPr>
          <w:p w:rsidR="006A1628" w:rsidRPr="00C31493" w:rsidRDefault="002A3A5D"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31.12.2018</w:t>
            </w:r>
            <w:proofErr w:type="gramEnd"/>
          </w:p>
        </w:tc>
        <w:tc>
          <w:tcPr>
            <w:tcW w:w="2835" w:type="dxa"/>
            <w:tcBorders>
              <w:top w:val="nil"/>
              <w:left w:val="nil"/>
              <w:bottom w:val="single" w:sz="4" w:space="0" w:color="auto"/>
              <w:right w:val="single" w:sz="4" w:space="0" w:color="auto"/>
            </w:tcBorders>
            <w:shd w:val="clear" w:color="auto" w:fill="auto"/>
            <w:hideMark/>
          </w:tcPr>
          <w:p w:rsidR="002A3A5D" w:rsidRPr="00C31493" w:rsidRDefault="002A3A5D" w:rsidP="002A3A5D">
            <w:pPr>
              <w:spacing w:after="0" w:line="240" w:lineRule="auto"/>
              <w:rPr>
                <w:rFonts w:eastAsia="Times New Roman" w:cs="Arial"/>
                <w:sz w:val="16"/>
                <w:szCs w:val="16"/>
                <w:lang w:eastAsia="cs-CZ"/>
              </w:rPr>
            </w:pPr>
          </w:p>
          <w:p w:rsidR="006A1628" w:rsidRPr="00C31493" w:rsidRDefault="006A1628" w:rsidP="0045041A">
            <w:pPr>
              <w:spacing w:after="0" w:line="240" w:lineRule="auto"/>
              <w:rPr>
                <w:rFonts w:eastAsia="Times New Roman" w:cs="Arial"/>
                <w:sz w:val="16"/>
                <w:szCs w:val="16"/>
                <w:lang w:eastAsia="cs-CZ"/>
              </w:rPr>
            </w:pPr>
          </w:p>
        </w:tc>
      </w:tr>
      <w:tr w:rsidR="006A1628" w:rsidRPr="00C31493" w:rsidTr="006A1628">
        <w:trPr>
          <w:trHeight w:val="1826"/>
        </w:trPr>
        <w:tc>
          <w:tcPr>
            <w:tcW w:w="1226" w:type="dxa"/>
            <w:vMerge/>
            <w:tcBorders>
              <w:top w:val="nil"/>
              <w:left w:val="single" w:sz="4" w:space="0" w:color="auto"/>
              <w:bottom w:val="single" w:sz="4" w:space="0" w:color="auto"/>
              <w:right w:val="single" w:sz="4" w:space="0" w:color="auto"/>
            </w:tcBorders>
            <w:vAlign w:val="center"/>
            <w:hideMark/>
          </w:tcPr>
          <w:p w:rsidR="006A1628" w:rsidRPr="00C31493" w:rsidRDefault="006A1628"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1.2.4 Revize Směrnice k postupu a stanoveným podmínkám pro udělování a odnímání schvalovacích doložek učebnicím a učebním textům a k zařazování učebnic a učebních textů do seznamu učebnic (č. j. MSMT-34616/2013), s ohledem na moderní trendy ve vývoji učebnic a v oblasti digitálních vzdělávacích obsahů.</w:t>
            </w:r>
          </w:p>
        </w:tc>
        <w:tc>
          <w:tcPr>
            <w:tcW w:w="992"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6A1628" w:rsidP="002C4C41">
            <w:pPr>
              <w:spacing w:after="0" w:line="240" w:lineRule="auto"/>
              <w:rPr>
                <w:rFonts w:eastAsia="Times New Roman" w:cs="Arial"/>
                <w:b/>
                <w:sz w:val="16"/>
                <w:szCs w:val="16"/>
                <w:lang w:eastAsia="cs-CZ"/>
              </w:rPr>
            </w:pPr>
            <w:r w:rsidRPr="004E5BB3">
              <w:rPr>
                <w:rFonts w:eastAsia="Times New Roman" w:cs="Arial"/>
                <w:b/>
                <w:sz w:val="16"/>
                <w:szCs w:val="16"/>
                <w:lang w:eastAsia="cs-CZ"/>
              </w:rPr>
              <w:t xml:space="preserve">Pokrok </w:t>
            </w:r>
          </w:p>
          <w:p w:rsidR="006A1628" w:rsidRPr="001D5AA7" w:rsidRDefault="006A1628" w:rsidP="001D5AA7">
            <w:pPr>
              <w:spacing w:after="0" w:line="240" w:lineRule="auto"/>
              <w:rPr>
                <w:rFonts w:eastAsia="Times New Roman" w:cs="Arial"/>
                <w:sz w:val="16"/>
                <w:szCs w:val="16"/>
                <w:lang w:eastAsia="cs-CZ"/>
              </w:rPr>
            </w:pPr>
            <w:r w:rsidRPr="001D5AA7">
              <w:rPr>
                <w:rFonts w:eastAsia="Times New Roman" w:cs="Arial"/>
                <w:sz w:val="16"/>
                <w:szCs w:val="16"/>
                <w:lang w:eastAsia="cs-CZ"/>
              </w:rPr>
              <w:t>Současná podoba Směrnice MŠMT je využitelná i pro udělování schvalovacích doložek současným digitálním učebnicím. V případě dalšího vývoje digitálních učebnic bude Směrnice MŠMT prověřena.</w:t>
            </w:r>
          </w:p>
          <w:p w:rsidR="006A1628" w:rsidRPr="001D5AA7" w:rsidRDefault="006A1628" w:rsidP="00246A0B">
            <w:pPr>
              <w:pStyle w:val="Odstavecseseznamem"/>
              <w:numPr>
                <w:ilvl w:val="0"/>
                <w:numId w:val="9"/>
              </w:numPr>
              <w:spacing w:after="0" w:line="240" w:lineRule="auto"/>
              <w:ind w:left="214" w:hanging="219"/>
              <w:rPr>
                <w:rFonts w:eastAsia="Times New Roman" w:cs="Arial"/>
                <w:sz w:val="16"/>
                <w:szCs w:val="16"/>
                <w:lang w:eastAsia="cs-CZ"/>
              </w:rPr>
            </w:pPr>
            <w:r w:rsidRPr="001D5AA7">
              <w:rPr>
                <w:rFonts w:eastAsia="Times New Roman" w:cs="Arial"/>
                <w:sz w:val="16"/>
                <w:szCs w:val="16"/>
                <w:lang w:eastAsia="cs-CZ"/>
              </w:rPr>
              <w:t>Digitální učebnice, které nemají charakter programu, schvalovací doložku získávají podle stávající Směrnice MŠMT na dobu 6 let. Pokud se učebnice aktualizuje, musí vydavatelství požádat o vydání nové schvalovací doložky.</w:t>
            </w:r>
          </w:p>
          <w:p w:rsidR="006A1628" w:rsidRDefault="006A1628" w:rsidP="00246A0B">
            <w:pPr>
              <w:pStyle w:val="Odstavecseseznamem"/>
              <w:numPr>
                <w:ilvl w:val="0"/>
                <w:numId w:val="9"/>
              </w:numPr>
              <w:spacing w:after="0" w:line="240" w:lineRule="auto"/>
              <w:ind w:left="214" w:hanging="219"/>
              <w:rPr>
                <w:rFonts w:eastAsia="Times New Roman" w:cs="Arial"/>
                <w:sz w:val="16"/>
                <w:szCs w:val="16"/>
                <w:lang w:eastAsia="cs-CZ"/>
              </w:rPr>
            </w:pPr>
            <w:r w:rsidRPr="001D5AA7">
              <w:rPr>
                <w:rFonts w:eastAsia="Times New Roman" w:cs="Arial"/>
                <w:sz w:val="16"/>
                <w:szCs w:val="16"/>
                <w:lang w:eastAsia="cs-CZ"/>
              </w:rPr>
              <w:t xml:space="preserve">Digitální učebnice, které mají charakter programu, jsou učební pomůckou, kterým se schvalovací doložka neuděluje. </w:t>
            </w:r>
          </w:p>
          <w:p w:rsidR="006A1628" w:rsidRPr="001D5AA7" w:rsidRDefault="006A1628" w:rsidP="001D5AA7">
            <w:pPr>
              <w:spacing w:after="0" w:line="240" w:lineRule="auto"/>
              <w:ind w:left="-5"/>
              <w:rPr>
                <w:rFonts w:eastAsia="Times New Roman" w:cs="Arial"/>
                <w:sz w:val="16"/>
                <w:szCs w:val="16"/>
                <w:lang w:eastAsia="cs-CZ"/>
              </w:rPr>
            </w:pPr>
            <w:r>
              <w:rPr>
                <w:rFonts w:eastAsia="Times New Roman" w:cs="Arial"/>
                <w:sz w:val="16"/>
                <w:szCs w:val="16"/>
                <w:lang w:eastAsia="cs-CZ"/>
              </w:rPr>
              <w:t>Součástí plánovaného rezortního výzkumu je zadání výzkumné potřeby „</w:t>
            </w:r>
            <w:r w:rsidRPr="001D5AA7">
              <w:rPr>
                <w:rFonts w:eastAsia="Times New Roman" w:cs="Arial"/>
                <w:sz w:val="16"/>
                <w:szCs w:val="16"/>
                <w:lang w:eastAsia="cs-CZ"/>
              </w:rPr>
              <w:t>Účelná podpora využívání digitálních učebnic</w:t>
            </w:r>
            <w:r>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jc w:val="center"/>
              <w:rPr>
                <w:rFonts w:eastAsia="Times New Roman" w:cs="Arial"/>
                <w:sz w:val="16"/>
                <w:szCs w:val="16"/>
                <w:lang w:eastAsia="cs-CZ"/>
              </w:rPr>
            </w:pPr>
          </w:p>
        </w:tc>
        <w:tc>
          <w:tcPr>
            <w:tcW w:w="2835" w:type="dxa"/>
            <w:tcBorders>
              <w:top w:val="nil"/>
              <w:left w:val="nil"/>
              <w:bottom w:val="single" w:sz="4" w:space="0" w:color="auto"/>
              <w:right w:val="single" w:sz="4" w:space="0" w:color="auto"/>
            </w:tcBorders>
            <w:shd w:val="clear" w:color="auto" w:fill="auto"/>
            <w:hideMark/>
          </w:tcPr>
          <w:p w:rsidR="006A1628" w:rsidRPr="00C31493" w:rsidRDefault="006A1628" w:rsidP="0045041A">
            <w:pPr>
              <w:spacing w:after="0" w:line="240" w:lineRule="auto"/>
              <w:rPr>
                <w:rFonts w:eastAsia="Times New Roman" w:cs="Arial"/>
                <w:sz w:val="16"/>
                <w:szCs w:val="16"/>
                <w:lang w:eastAsia="cs-CZ"/>
              </w:rPr>
            </w:pPr>
            <w:r w:rsidRPr="00C31493">
              <w:rPr>
                <w:rFonts w:eastAsia="Times New Roman" w:cs="Arial"/>
                <w:sz w:val="16"/>
                <w:szCs w:val="16"/>
                <w:lang w:eastAsia="cs-CZ"/>
              </w:rPr>
              <w:t xml:space="preserve">Opatření v SDV zůstává bez termínu, průběžně bude </w:t>
            </w:r>
            <w:r>
              <w:rPr>
                <w:rFonts w:eastAsia="Times New Roman" w:cs="Arial"/>
                <w:sz w:val="16"/>
                <w:szCs w:val="16"/>
                <w:lang w:eastAsia="cs-CZ"/>
              </w:rPr>
              <w:t>hodnoceno, zda současná úprava S</w:t>
            </w:r>
            <w:r w:rsidRPr="00C31493">
              <w:rPr>
                <w:rFonts w:eastAsia="Times New Roman" w:cs="Arial"/>
                <w:sz w:val="16"/>
                <w:szCs w:val="16"/>
                <w:lang w:eastAsia="cs-CZ"/>
              </w:rPr>
              <w:t>měrnice stále vyhovuje.</w:t>
            </w:r>
          </w:p>
        </w:tc>
      </w:tr>
    </w:tbl>
    <w:p w:rsidR="00B74F3F" w:rsidRDefault="00B74F3F" w:rsidP="00B74F3F"/>
    <w:p w:rsidR="00A707CB" w:rsidRDefault="00A707CB" w:rsidP="004E5BB3">
      <w:pPr>
        <w:pStyle w:val="Nadpis2"/>
        <w:ind w:left="1080"/>
      </w:pPr>
      <w:bookmarkStart w:id="4" w:name="_Toc469572105"/>
      <w:r>
        <w:t>Zajistit podmínky pro rozvoj digitální gramotnosti a informatického myšlení žáků.</w:t>
      </w:r>
      <w:bookmarkEnd w:id="4"/>
    </w:p>
    <w:p w:rsidR="00453336" w:rsidRDefault="002A3A5D" w:rsidP="002A3A5D">
      <w:pPr>
        <w:pStyle w:val="Nadpis3"/>
      </w:pPr>
      <w:r>
        <w:t>Indikátory úspěchu</w:t>
      </w:r>
    </w:p>
    <w:tbl>
      <w:tblPr>
        <w:tblStyle w:val="Mkatabulky"/>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gridCol w:w="11544"/>
      </w:tblGrid>
      <w:tr w:rsidR="002A3A5D" w:rsidRPr="002A3A5D" w:rsidTr="009C47F3">
        <w:trPr>
          <w:trHeight w:val="1575"/>
        </w:trPr>
        <w:tc>
          <w:tcPr>
            <w:tcW w:w="1555" w:type="dxa"/>
            <w:hideMark/>
          </w:tcPr>
          <w:p w:rsidR="002A3A5D" w:rsidRPr="002A3A5D" w:rsidRDefault="002A3A5D" w:rsidP="009C47F3">
            <w:pPr>
              <w:jc w:val="left"/>
            </w:pPr>
            <w:r w:rsidRPr="002A3A5D">
              <w:t>2.1 Zajištění systému pravidelných inovací rámcových vzdělávacích programů</w:t>
            </w:r>
          </w:p>
        </w:tc>
        <w:tc>
          <w:tcPr>
            <w:tcW w:w="4961" w:type="dxa"/>
            <w:hideMark/>
          </w:tcPr>
          <w:p w:rsidR="002A3A5D" w:rsidRPr="002A3A5D" w:rsidRDefault="002A3A5D" w:rsidP="002A3A5D">
            <w:r w:rsidRPr="002A3A5D">
              <w:t>Existuje schválený dokument MŠMT, který stanovuje systém pravidelných40 aktualizací jednotlivých RVP a navazujících dokumentů. Při aktualizacích jsou využívána získaná data z opatření 5.2, 5.3 a 5.4.</w:t>
            </w:r>
          </w:p>
        </w:tc>
      </w:tr>
      <w:tr w:rsidR="002A3A5D" w:rsidRPr="002A3A5D" w:rsidTr="009C47F3">
        <w:trPr>
          <w:trHeight w:val="1125"/>
        </w:trPr>
        <w:tc>
          <w:tcPr>
            <w:tcW w:w="1555" w:type="dxa"/>
            <w:vMerge w:val="restart"/>
            <w:hideMark/>
          </w:tcPr>
          <w:p w:rsidR="002A3A5D" w:rsidRPr="002A3A5D" w:rsidRDefault="002A3A5D" w:rsidP="009C47F3">
            <w:pPr>
              <w:jc w:val="left"/>
            </w:pPr>
            <w:r w:rsidRPr="002A3A5D">
              <w:lastRenderedPageBreak/>
              <w:t>2.2 Zdůraznění problematiky digitálních technologií napříč kurikulem a jeho modernizace</w:t>
            </w:r>
          </w:p>
        </w:tc>
        <w:tc>
          <w:tcPr>
            <w:tcW w:w="4961" w:type="dxa"/>
            <w:vMerge w:val="restart"/>
            <w:hideMark/>
          </w:tcPr>
          <w:p w:rsidR="009C47F3" w:rsidRDefault="002A3A5D" w:rsidP="009C47F3">
            <w:r w:rsidRPr="002A3A5D">
              <w:t>Klíčové kompetence, vzdělávací obsah (očekávané výstupy a učivo všech vzdělávacích oblastí) a průřezová témata reflektují význam a vývoj digitálních technologií v jednotlivých oborech lidských činností. Cíle vzdělávání na úrovni vzdělávacích programů zahrnují rozvoj digitální gramotnosti žáků.</w:t>
            </w:r>
          </w:p>
          <w:p w:rsidR="002A3A5D" w:rsidRPr="002A3A5D" w:rsidRDefault="002A3A5D" w:rsidP="009C47F3">
            <w:r w:rsidRPr="002A3A5D">
              <w:t>Realizaci tohoto opatření musí doprovázet opatření na podporu učitelů, viz opatření 3.2. Další podpora realizace tohoto opatření viz opatření 6.4.</w:t>
            </w:r>
          </w:p>
        </w:tc>
      </w:tr>
      <w:tr w:rsidR="002A3A5D" w:rsidRPr="002A3A5D" w:rsidTr="009C47F3">
        <w:trPr>
          <w:trHeight w:val="509"/>
        </w:trPr>
        <w:tc>
          <w:tcPr>
            <w:tcW w:w="1555" w:type="dxa"/>
            <w:vMerge/>
            <w:hideMark/>
          </w:tcPr>
          <w:p w:rsidR="002A3A5D" w:rsidRPr="002A3A5D" w:rsidRDefault="002A3A5D" w:rsidP="009C47F3">
            <w:pPr>
              <w:jc w:val="left"/>
            </w:pPr>
          </w:p>
        </w:tc>
        <w:tc>
          <w:tcPr>
            <w:tcW w:w="4961" w:type="dxa"/>
            <w:vMerge/>
            <w:hideMark/>
          </w:tcPr>
          <w:p w:rsidR="002A3A5D" w:rsidRPr="002A3A5D" w:rsidRDefault="002A3A5D" w:rsidP="002A3A5D"/>
        </w:tc>
      </w:tr>
      <w:tr w:rsidR="002A3A5D" w:rsidRPr="002A3A5D" w:rsidTr="009C47F3">
        <w:trPr>
          <w:trHeight w:val="509"/>
        </w:trPr>
        <w:tc>
          <w:tcPr>
            <w:tcW w:w="1555" w:type="dxa"/>
            <w:vMerge w:val="restart"/>
            <w:hideMark/>
          </w:tcPr>
          <w:p w:rsidR="002A3A5D" w:rsidRPr="002A3A5D" w:rsidRDefault="002A3A5D" w:rsidP="009C47F3">
            <w:pPr>
              <w:jc w:val="left"/>
            </w:pPr>
            <w:r w:rsidRPr="002A3A5D">
              <w:t xml:space="preserve">2.3 Modernizace vzdělávací oblasti ICT v </w:t>
            </w:r>
            <w:proofErr w:type="spellStart"/>
            <w:r w:rsidRPr="002A3A5D">
              <w:t>rvp</w:t>
            </w:r>
            <w:proofErr w:type="spellEnd"/>
            <w:r w:rsidRPr="002A3A5D">
              <w:t>, zdůraznění informatického myšlení</w:t>
            </w:r>
          </w:p>
        </w:tc>
        <w:tc>
          <w:tcPr>
            <w:tcW w:w="4961" w:type="dxa"/>
            <w:vMerge w:val="restart"/>
            <w:hideMark/>
          </w:tcPr>
          <w:p w:rsidR="002A3A5D" w:rsidRPr="002A3A5D" w:rsidRDefault="002A3A5D" w:rsidP="002A3A5D">
            <w:r w:rsidRPr="002A3A5D">
              <w:t>RVP jsou formulovány tak, že srozumitelně reflektují aktuální možnosti digitálních technologií a potenciál jejich využití pro rozvoj digitální gramotnosti, zároveň rozvíjejí u žáků informatické myšlení. Pro tento vzdělávací obsah poskytují dostatečný prostor.</w:t>
            </w:r>
            <w:r w:rsidRPr="002A3A5D">
              <w:br/>
              <w:t>Existuje dostatek kvalitních (on-line, digitálních) učebních a vzdělávacích zdrojů pro žáky k dané problematice.</w:t>
            </w:r>
          </w:p>
        </w:tc>
      </w:tr>
      <w:tr w:rsidR="002A3A5D" w:rsidRPr="002A3A5D" w:rsidTr="009C47F3">
        <w:trPr>
          <w:trHeight w:val="509"/>
        </w:trPr>
        <w:tc>
          <w:tcPr>
            <w:tcW w:w="1555" w:type="dxa"/>
            <w:vMerge/>
            <w:hideMark/>
          </w:tcPr>
          <w:p w:rsidR="002A3A5D" w:rsidRPr="002A3A5D" w:rsidRDefault="002A3A5D" w:rsidP="009C47F3">
            <w:pPr>
              <w:jc w:val="left"/>
            </w:pPr>
          </w:p>
        </w:tc>
        <w:tc>
          <w:tcPr>
            <w:tcW w:w="4961" w:type="dxa"/>
            <w:vMerge/>
            <w:hideMark/>
          </w:tcPr>
          <w:p w:rsidR="002A3A5D" w:rsidRPr="002A3A5D" w:rsidRDefault="002A3A5D" w:rsidP="002A3A5D"/>
        </w:tc>
      </w:tr>
      <w:tr w:rsidR="002A3A5D" w:rsidRPr="002A3A5D" w:rsidTr="009C47F3">
        <w:trPr>
          <w:trHeight w:val="1243"/>
        </w:trPr>
        <w:tc>
          <w:tcPr>
            <w:tcW w:w="1555" w:type="dxa"/>
            <w:hideMark/>
          </w:tcPr>
          <w:p w:rsidR="002A3A5D" w:rsidRPr="002A3A5D" w:rsidRDefault="002A3A5D" w:rsidP="009C47F3">
            <w:pPr>
              <w:jc w:val="left"/>
            </w:pPr>
            <w:r w:rsidRPr="002A3A5D">
              <w:t>2.4 Propojení formálního a neformálního vzdělávání a informálního učení</w:t>
            </w:r>
          </w:p>
        </w:tc>
        <w:tc>
          <w:tcPr>
            <w:tcW w:w="4961" w:type="dxa"/>
            <w:hideMark/>
          </w:tcPr>
          <w:p w:rsidR="002A3A5D" w:rsidRPr="002A3A5D" w:rsidRDefault="002A3A5D" w:rsidP="002A3A5D">
            <w:r w:rsidRPr="002A3A5D">
              <w:t>Pro vzdělávání jsou on-line zdarma k dispozici kvalitní učební příležitosti a systémy pro propojování aktérů ve vzdělávání, inovativní projekty v této oblasti mají možnost díky podpoře státu dále se rozvíjet.</w:t>
            </w:r>
          </w:p>
        </w:tc>
      </w:tr>
    </w:tbl>
    <w:p w:rsidR="002A3A5D" w:rsidRPr="002A3A5D" w:rsidRDefault="002A3A5D" w:rsidP="002A3A5D"/>
    <w:tbl>
      <w:tblPr>
        <w:tblW w:w="15309" w:type="dxa"/>
        <w:tblInd w:w="-5" w:type="dxa"/>
        <w:tblLayout w:type="fixed"/>
        <w:tblCellMar>
          <w:left w:w="70" w:type="dxa"/>
          <w:right w:w="70" w:type="dxa"/>
        </w:tblCellMar>
        <w:tblLook w:val="04A0" w:firstRow="1" w:lastRow="0" w:firstColumn="1" w:lastColumn="0" w:noHBand="0" w:noVBand="1"/>
      </w:tblPr>
      <w:tblGrid>
        <w:gridCol w:w="1226"/>
        <w:gridCol w:w="3027"/>
        <w:gridCol w:w="992"/>
        <w:gridCol w:w="5954"/>
        <w:gridCol w:w="1275"/>
        <w:gridCol w:w="2835"/>
      </w:tblGrid>
      <w:tr w:rsidR="006A1628" w:rsidRPr="00453336" w:rsidTr="000E6580">
        <w:trPr>
          <w:trHeight w:val="810"/>
          <w:tblHeader/>
        </w:trPr>
        <w:tc>
          <w:tcPr>
            <w:tcW w:w="1226" w:type="dxa"/>
            <w:tcBorders>
              <w:top w:val="single" w:sz="4" w:space="0" w:color="auto"/>
              <w:left w:val="single" w:sz="4" w:space="0" w:color="auto"/>
              <w:bottom w:val="single" w:sz="4" w:space="0" w:color="auto"/>
              <w:right w:val="single" w:sz="4" w:space="0" w:color="auto"/>
            </w:tcBorders>
            <w:shd w:val="clear" w:color="auto" w:fill="FFCC66"/>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Opatření</w:t>
            </w:r>
          </w:p>
        </w:tc>
        <w:tc>
          <w:tcPr>
            <w:tcW w:w="3027" w:type="dxa"/>
            <w:tcBorders>
              <w:top w:val="single" w:sz="4" w:space="0" w:color="auto"/>
              <w:left w:val="nil"/>
              <w:bottom w:val="single" w:sz="4" w:space="0" w:color="auto"/>
              <w:right w:val="single" w:sz="4" w:space="0" w:color="auto"/>
            </w:tcBorders>
            <w:shd w:val="clear" w:color="auto" w:fill="FFCC66"/>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Aktivity</w:t>
            </w:r>
          </w:p>
        </w:tc>
        <w:tc>
          <w:tcPr>
            <w:tcW w:w="992" w:type="dxa"/>
            <w:tcBorders>
              <w:top w:val="single" w:sz="4" w:space="0" w:color="auto"/>
              <w:left w:val="nil"/>
              <w:bottom w:val="single" w:sz="4" w:space="0" w:color="auto"/>
              <w:right w:val="single" w:sz="4" w:space="0" w:color="auto"/>
            </w:tcBorders>
            <w:shd w:val="clear" w:color="auto" w:fill="FFCC66"/>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Návrh realizace v SDV</w:t>
            </w:r>
          </w:p>
        </w:tc>
        <w:tc>
          <w:tcPr>
            <w:tcW w:w="5954" w:type="dxa"/>
            <w:tcBorders>
              <w:top w:val="single" w:sz="4" w:space="0" w:color="auto"/>
              <w:left w:val="nil"/>
              <w:bottom w:val="single" w:sz="4" w:space="0" w:color="auto"/>
              <w:right w:val="single" w:sz="4" w:space="0" w:color="auto"/>
            </w:tcBorders>
            <w:shd w:val="clear" w:color="auto" w:fill="FFCC66"/>
            <w:hideMark/>
          </w:tcPr>
          <w:p w:rsidR="006A1628" w:rsidRPr="00453336" w:rsidRDefault="000E6580" w:rsidP="0045041A">
            <w:pPr>
              <w:spacing w:after="0" w:line="240" w:lineRule="auto"/>
              <w:rPr>
                <w:rFonts w:eastAsia="Times New Roman" w:cs="Arial"/>
                <w:b/>
                <w:bCs/>
                <w:sz w:val="20"/>
                <w:szCs w:val="20"/>
                <w:lang w:eastAsia="cs-CZ"/>
              </w:rPr>
            </w:pPr>
            <w:r>
              <w:rPr>
                <w:rFonts w:eastAsia="Times New Roman" w:cs="Arial"/>
                <w:b/>
                <w:bCs/>
                <w:sz w:val="20"/>
                <w:szCs w:val="20"/>
                <w:lang w:eastAsia="cs-CZ"/>
              </w:rPr>
              <w:t>Stav p</w:t>
            </w:r>
            <w:r w:rsidRPr="00453336">
              <w:rPr>
                <w:rFonts w:eastAsia="Times New Roman" w:cs="Arial"/>
                <w:b/>
                <w:bCs/>
                <w:sz w:val="20"/>
                <w:szCs w:val="20"/>
                <w:lang w:eastAsia="cs-CZ"/>
              </w:rPr>
              <w:t>lnění</w:t>
            </w:r>
            <w:r>
              <w:rPr>
                <w:rFonts w:eastAsia="Times New Roman" w:cs="Arial"/>
                <w:b/>
                <w:bCs/>
                <w:sz w:val="20"/>
                <w:szCs w:val="20"/>
                <w:lang w:eastAsia="cs-CZ"/>
              </w:rPr>
              <w:t>, návrh na úpravy znění</w:t>
            </w:r>
          </w:p>
        </w:tc>
        <w:tc>
          <w:tcPr>
            <w:tcW w:w="1275" w:type="dxa"/>
            <w:tcBorders>
              <w:top w:val="single" w:sz="4" w:space="0" w:color="auto"/>
              <w:left w:val="nil"/>
              <w:bottom w:val="single" w:sz="4" w:space="0" w:color="auto"/>
              <w:right w:val="single" w:sz="4" w:space="0" w:color="auto"/>
            </w:tcBorders>
            <w:shd w:val="clear" w:color="auto" w:fill="FFCC66"/>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Termín (SDV)</w:t>
            </w:r>
          </w:p>
        </w:tc>
        <w:tc>
          <w:tcPr>
            <w:tcW w:w="2835" w:type="dxa"/>
            <w:tcBorders>
              <w:top w:val="single" w:sz="4" w:space="0" w:color="auto"/>
              <w:left w:val="nil"/>
              <w:bottom w:val="single" w:sz="4" w:space="0" w:color="auto"/>
              <w:right w:val="single" w:sz="4" w:space="0" w:color="auto"/>
            </w:tcBorders>
            <w:shd w:val="clear" w:color="auto" w:fill="FFCC66"/>
            <w:hideMark/>
          </w:tcPr>
          <w:p w:rsidR="006A1628" w:rsidRPr="00453336" w:rsidRDefault="006A1628" w:rsidP="0045041A">
            <w:pPr>
              <w:spacing w:after="0" w:line="240" w:lineRule="auto"/>
              <w:rPr>
                <w:rFonts w:eastAsia="Times New Roman" w:cs="Arial"/>
                <w:b/>
                <w:bCs/>
                <w:sz w:val="20"/>
                <w:szCs w:val="20"/>
                <w:lang w:eastAsia="cs-CZ"/>
              </w:rPr>
            </w:pPr>
            <w:r w:rsidRPr="00453336">
              <w:rPr>
                <w:rFonts w:eastAsia="Times New Roman" w:cs="Arial"/>
                <w:b/>
                <w:bCs/>
                <w:sz w:val="20"/>
                <w:szCs w:val="20"/>
                <w:lang w:eastAsia="cs-CZ"/>
              </w:rPr>
              <w:t>Změna termínu + důvod</w:t>
            </w:r>
          </w:p>
        </w:tc>
      </w:tr>
      <w:tr w:rsidR="006A1628" w:rsidRPr="00044A2B" w:rsidTr="00B23ECD">
        <w:trPr>
          <w:trHeight w:val="596"/>
        </w:trPr>
        <w:tc>
          <w:tcPr>
            <w:tcW w:w="1226" w:type="dxa"/>
            <w:tcBorders>
              <w:top w:val="nil"/>
              <w:left w:val="single" w:sz="4" w:space="0" w:color="auto"/>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2.1 Zajištění systému pravidelných inovací rámcových vzdělávacích programů</w:t>
            </w:r>
          </w:p>
        </w:tc>
        <w:tc>
          <w:tcPr>
            <w:tcW w:w="3027"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xml:space="preserve">2.1.1 </w:t>
            </w:r>
            <w:r w:rsidR="009C47F3">
              <w:rPr>
                <w:rFonts w:eastAsia="Times New Roman" w:cs="Arial"/>
                <w:sz w:val="16"/>
                <w:szCs w:val="16"/>
                <w:lang w:eastAsia="cs-CZ"/>
              </w:rPr>
              <w:t>Z</w:t>
            </w:r>
            <w:r w:rsidR="009C47F3" w:rsidRPr="00B00625">
              <w:rPr>
                <w:rFonts w:eastAsia="Times New Roman" w:cs="Arial"/>
                <w:sz w:val="16"/>
                <w:szCs w:val="16"/>
                <w:lang w:eastAsia="cs-CZ"/>
              </w:rPr>
              <w:t>pracování dokumentu MŠMT, který konkretizuje způsob dílčích aktualizací kurikula (revizí kurikulárních dokumentů) v oblasti rozvoje digitální gramotnosti a informatického myšlení žáků. Dokument vychází z materiálu „Tvorba a revize kurikulárních dokumentů pro předškolní, základní a střední vzdělávání na národní úrovni“, z výsledků revize rámcových vzdělávacích programů (všeobecně vzdělávací části) v oblasti informatiky a ICT, identifikuje rizika spojená s aktualizací kurikula i důsledky, pokud nebudou intervaly dílčích revizí pro tuto oblast stanoveny nebo dodržovány.</w:t>
            </w:r>
          </w:p>
        </w:tc>
        <w:tc>
          <w:tcPr>
            <w:tcW w:w="992"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NÚV</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1F2B87" w:rsidP="0045041A">
            <w:pPr>
              <w:spacing w:after="0" w:line="240" w:lineRule="auto"/>
              <w:rPr>
                <w:rFonts w:eastAsia="Times New Roman" w:cs="Arial"/>
                <w:b/>
                <w:sz w:val="16"/>
                <w:szCs w:val="16"/>
                <w:lang w:eastAsia="cs-CZ"/>
              </w:rPr>
            </w:pPr>
            <w:r>
              <w:rPr>
                <w:rFonts w:eastAsia="Times New Roman" w:cs="Arial"/>
                <w:b/>
                <w:sz w:val="16"/>
                <w:szCs w:val="16"/>
                <w:lang w:eastAsia="cs-CZ"/>
              </w:rPr>
              <w:t>P</w:t>
            </w:r>
            <w:r w:rsidR="009C47F3">
              <w:rPr>
                <w:rFonts w:eastAsia="Times New Roman" w:cs="Arial"/>
                <w:b/>
                <w:sz w:val="16"/>
                <w:szCs w:val="16"/>
                <w:lang w:eastAsia="cs-CZ"/>
              </w:rPr>
              <w:t>okrok</w:t>
            </w:r>
          </w:p>
          <w:p w:rsidR="009C47F3" w:rsidRPr="009C47F3" w:rsidRDefault="009C47F3" w:rsidP="009C47F3">
            <w:pPr>
              <w:spacing w:after="0" w:line="240" w:lineRule="auto"/>
              <w:rPr>
                <w:rFonts w:eastAsia="Times New Roman" w:cs="Arial"/>
                <w:sz w:val="16"/>
                <w:szCs w:val="16"/>
                <w:lang w:eastAsia="cs-CZ"/>
              </w:rPr>
            </w:pPr>
            <w:r>
              <w:rPr>
                <w:rFonts w:eastAsia="Times New Roman" w:cs="Arial"/>
                <w:sz w:val="16"/>
                <w:szCs w:val="16"/>
                <w:lang w:eastAsia="cs-CZ"/>
              </w:rPr>
              <w:t>Dne 5. 4. 2016</w:t>
            </w:r>
            <w:r w:rsidRPr="009C47F3">
              <w:rPr>
                <w:rFonts w:eastAsia="Times New Roman" w:cs="Arial"/>
                <w:sz w:val="16"/>
                <w:szCs w:val="16"/>
                <w:lang w:eastAsia="cs-CZ"/>
              </w:rPr>
              <w:t xml:space="preserve"> porada vedení schválila dokument NUV „Tvorba a revize kurikulárních dokumentů pro předškolní, základní a střední vzdělávání na národní úrovni“(</w:t>
            </w:r>
            <w:proofErr w:type="gramStart"/>
            <w:r w:rsidRPr="009C47F3">
              <w:rPr>
                <w:rFonts w:eastAsia="Times New Roman" w:cs="Arial"/>
                <w:sz w:val="16"/>
                <w:szCs w:val="16"/>
                <w:lang w:eastAsia="cs-CZ"/>
              </w:rPr>
              <w:t>č.j.</w:t>
            </w:r>
            <w:proofErr w:type="gramEnd"/>
            <w:r w:rsidRPr="009C47F3">
              <w:rPr>
                <w:rFonts w:eastAsia="Times New Roman" w:cs="Arial"/>
                <w:sz w:val="16"/>
                <w:szCs w:val="16"/>
                <w:lang w:eastAsia="cs-CZ"/>
              </w:rPr>
              <w:t>: MSMT-34587/2015-1)</w:t>
            </w:r>
          </w:p>
          <w:p w:rsidR="009C47F3" w:rsidRPr="009C47F3" w:rsidRDefault="009C47F3" w:rsidP="009C47F3">
            <w:pPr>
              <w:spacing w:after="0" w:line="240" w:lineRule="auto"/>
              <w:rPr>
                <w:rFonts w:eastAsia="Times New Roman" w:cs="Arial"/>
                <w:sz w:val="16"/>
                <w:szCs w:val="16"/>
                <w:lang w:eastAsia="cs-CZ"/>
              </w:rPr>
            </w:pPr>
            <w:r w:rsidRPr="009C47F3">
              <w:rPr>
                <w:rFonts w:eastAsia="Times New Roman" w:cs="Arial"/>
                <w:sz w:val="16"/>
                <w:szCs w:val="16"/>
                <w:lang w:eastAsia="cs-CZ"/>
              </w:rPr>
              <w:t xml:space="preserve">Tento dokument stanoví aktualizace RVP takto: </w:t>
            </w:r>
          </w:p>
          <w:p w:rsidR="009C47F3" w:rsidRPr="009C47F3" w:rsidRDefault="009C47F3" w:rsidP="009C47F3">
            <w:pPr>
              <w:spacing w:after="0" w:line="240" w:lineRule="auto"/>
              <w:rPr>
                <w:rFonts w:eastAsia="Times New Roman" w:cs="Arial"/>
                <w:sz w:val="16"/>
                <w:szCs w:val="16"/>
                <w:lang w:eastAsia="cs-CZ"/>
              </w:rPr>
            </w:pPr>
            <w:r w:rsidRPr="009C47F3">
              <w:rPr>
                <w:rFonts w:eastAsia="Times New Roman" w:cs="Arial"/>
                <w:sz w:val="16"/>
                <w:szCs w:val="16"/>
                <w:lang w:eastAsia="cs-CZ"/>
              </w:rPr>
              <w:t>Komplexní revize:</w:t>
            </w:r>
          </w:p>
          <w:p w:rsidR="009C47F3" w:rsidRPr="009C47F3" w:rsidRDefault="009C47F3" w:rsidP="00246A0B">
            <w:pPr>
              <w:pStyle w:val="Odstavecseseznamem"/>
              <w:numPr>
                <w:ilvl w:val="0"/>
                <w:numId w:val="9"/>
              </w:numPr>
              <w:spacing w:after="0" w:line="240" w:lineRule="auto"/>
              <w:rPr>
                <w:rFonts w:eastAsia="Times New Roman" w:cs="Arial"/>
                <w:sz w:val="16"/>
                <w:szCs w:val="16"/>
                <w:lang w:eastAsia="cs-CZ"/>
              </w:rPr>
            </w:pPr>
            <w:r w:rsidRPr="009C47F3">
              <w:rPr>
                <w:rFonts w:eastAsia="Times New Roman" w:cs="Arial"/>
                <w:sz w:val="16"/>
                <w:szCs w:val="16"/>
                <w:lang w:eastAsia="cs-CZ"/>
              </w:rPr>
              <w:t>Předškolní vzdělávání: 10 – 12 let</w:t>
            </w:r>
          </w:p>
          <w:p w:rsidR="009C47F3" w:rsidRPr="009C47F3" w:rsidRDefault="009C47F3" w:rsidP="00246A0B">
            <w:pPr>
              <w:pStyle w:val="Odstavecseseznamem"/>
              <w:numPr>
                <w:ilvl w:val="0"/>
                <w:numId w:val="9"/>
              </w:numPr>
              <w:spacing w:after="0" w:line="240" w:lineRule="auto"/>
              <w:rPr>
                <w:rFonts w:eastAsia="Times New Roman" w:cs="Arial"/>
                <w:sz w:val="16"/>
                <w:szCs w:val="16"/>
                <w:lang w:eastAsia="cs-CZ"/>
              </w:rPr>
            </w:pPr>
            <w:r w:rsidRPr="009C47F3">
              <w:rPr>
                <w:rFonts w:eastAsia="Times New Roman" w:cs="Arial"/>
                <w:sz w:val="16"/>
                <w:szCs w:val="16"/>
                <w:lang w:eastAsia="cs-CZ"/>
              </w:rPr>
              <w:t>Základní vzdělávání: 12 let</w:t>
            </w:r>
          </w:p>
          <w:p w:rsidR="009C47F3" w:rsidRPr="009C47F3" w:rsidRDefault="009C47F3" w:rsidP="00246A0B">
            <w:pPr>
              <w:pStyle w:val="Odstavecseseznamem"/>
              <w:numPr>
                <w:ilvl w:val="0"/>
                <w:numId w:val="9"/>
              </w:numPr>
              <w:spacing w:after="0" w:line="240" w:lineRule="auto"/>
              <w:rPr>
                <w:rFonts w:eastAsia="Times New Roman" w:cs="Arial"/>
                <w:sz w:val="16"/>
                <w:szCs w:val="16"/>
                <w:lang w:eastAsia="cs-CZ"/>
              </w:rPr>
            </w:pPr>
            <w:r w:rsidRPr="009C47F3">
              <w:rPr>
                <w:rFonts w:eastAsia="Times New Roman" w:cs="Arial"/>
                <w:sz w:val="16"/>
                <w:szCs w:val="16"/>
                <w:lang w:eastAsia="cs-CZ"/>
              </w:rPr>
              <w:t>Střední vzdělávání – obory E, H: 6 let</w:t>
            </w:r>
          </w:p>
          <w:p w:rsidR="009C47F3" w:rsidRPr="009C47F3" w:rsidRDefault="009C47F3" w:rsidP="00246A0B">
            <w:pPr>
              <w:pStyle w:val="Odstavecseseznamem"/>
              <w:numPr>
                <w:ilvl w:val="0"/>
                <w:numId w:val="9"/>
              </w:numPr>
              <w:spacing w:after="0" w:line="240" w:lineRule="auto"/>
              <w:rPr>
                <w:rFonts w:eastAsia="Times New Roman" w:cs="Arial"/>
                <w:sz w:val="16"/>
                <w:szCs w:val="16"/>
                <w:lang w:eastAsia="cs-CZ"/>
              </w:rPr>
            </w:pPr>
            <w:r w:rsidRPr="009C47F3">
              <w:rPr>
                <w:rFonts w:eastAsia="Times New Roman" w:cs="Arial"/>
                <w:sz w:val="16"/>
                <w:szCs w:val="16"/>
                <w:lang w:eastAsia="cs-CZ"/>
              </w:rPr>
              <w:t>Střední 4 leté vzdělávání: 7 let</w:t>
            </w:r>
          </w:p>
          <w:p w:rsidR="009C47F3" w:rsidRPr="009C47F3" w:rsidRDefault="009C47F3" w:rsidP="00246A0B">
            <w:pPr>
              <w:pStyle w:val="Odstavecseseznamem"/>
              <w:numPr>
                <w:ilvl w:val="0"/>
                <w:numId w:val="9"/>
              </w:numPr>
              <w:spacing w:after="0" w:line="240" w:lineRule="auto"/>
              <w:rPr>
                <w:rFonts w:eastAsia="Times New Roman" w:cs="Arial"/>
                <w:sz w:val="16"/>
                <w:szCs w:val="16"/>
                <w:lang w:eastAsia="cs-CZ"/>
              </w:rPr>
            </w:pPr>
            <w:r w:rsidRPr="009C47F3">
              <w:rPr>
                <w:rFonts w:eastAsia="Times New Roman" w:cs="Arial"/>
                <w:sz w:val="16"/>
                <w:szCs w:val="16"/>
                <w:lang w:eastAsia="cs-CZ"/>
              </w:rPr>
              <w:t>Střední 6 leté vzdělávání: 9 let</w:t>
            </w:r>
          </w:p>
          <w:p w:rsidR="009C47F3" w:rsidRPr="009C47F3" w:rsidRDefault="009C47F3" w:rsidP="00246A0B">
            <w:pPr>
              <w:pStyle w:val="Odstavecseseznamem"/>
              <w:numPr>
                <w:ilvl w:val="0"/>
                <w:numId w:val="9"/>
              </w:numPr>
              <w:spacing w:after="0" w:line="240" w:lineRule="auto"/>
              <w:rPr>
                <w:rFonts w:eastAsia="Times New Roman" w:cs="Arial"/>
                <w:sz w:val="16"/>
                <w:szCs w:val="16"/>
                <w:lang w:eastAsia="cs-CZ"/>
              </w:rPr>
            </w:pPr>
            <w:r w:rsidRPr="009C47F3">
              <w:rPr>
                <w:rFonts w:eastAsia="Times New Roman" w:cs="Arial"/>
                <w:sz w:val="16"/>
                <w:szCs w:val="16"/>
                <w:lang w:eastAsia="cs-CZ"/>
              </w:rPr>
              <w:t>Střední 8 leté vzdělávání:11 let</w:t>
            </w:r>
          </w:p>
          <w:p w:rsidR="006A1628" w:rsidRPr="00044A2B" w:rsidRDefault="009C47F3" w:rsidP="00564F7D">
            <w:pPr>
              <w:spacing w:after="0" w:line="240" w:lineRule="auto"/>
              <w:rPr>
                <w:rFonts w:eastAsia="Times New Roman" w:cs="Arial"/>
                <w:sz w:val="16"/>
                <w:szCs w:val="16"/>
                <w:lang w:eastAsia="cs-CZ"/>
              </w:rPr>
            </w:pPr>
            <w:r w:rsidRPr="009C47F3">
              <w:rPr>
                <w:rFonts w:eastAsia="Times New Roman" w:cs="Arial"/>
                <w:sz w:val="16"/>
                <w:szCs w:val="16"/>
                <w:lang w:eastAsia="cs-CZ"/>
              </w:rPr>
              <w:t xml:space="preserve"> Dílčí změny: vždy, když je identifikována potřeba</w:t>
            </w:r>
            <w:r w:rsidR="00CE406F">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6A1628" w:rsidRPr="00044A2B" w:rsidRDefault="009C47F3"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31.12.2019</w:t>
            </w:r>
            <w:proofErr w:type="gramEnd"/>
          </w:p>
        </w:tc>
        <w:tc>
          <w:tcPr>
            <w:tcW w:w="283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p>
        </w:tc>
      </w:tr>
      <w:tr w:rsidR="006A1628" w:rsidRPr="00044A2B" w:rsidTr="004E5BB3">
        <w:trPr>
          <w:trHeight w:val="1730"/>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lastRenderedPageBreak/>
              <w:t>2.2 Zdůraznění problematiky digitálních technologií napříč kurikulem a jeho modernizace</w:t>
            </w:r>
          </w:p>
        </w:tc>
        <w:tc>
          <w:tcPr>
            <w:tcW w:w="3027"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2.2.1 Modernizace znění RVP, kterého se účastní odborníci nejen na dané vzdělávací oblasti (uvnitř akademických oborů), ale i napříč těmito oblastmi a jsou do něj angažováni i odborníci na vzdělávací technologie a odborníci z praxe. V souladu s revizí RVP jsou revidovány i na něj navázané dokumenty (standardy vzdělávacích oborů).</w:t>
            </w:r>
          </w:p>
        </w:tc>
        <w:tc>
          <w:tcPr>
            <w:tcW w:w="992"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NÚV</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CE406F" w:rsidP="001F4B3C">
            <w:pPr>
              <w:spacing w:after="0" w:line="240" w:lineRule="auto"/>
              <w:rPr>
                <w:rFonts w:eastAsia="Times New Roman" w:cs="Arial"/>
                <w:b/>
                <w:sz w:val="16"/>
                <w:szCs w:val="16"/>
                <w:lang w:eastAsia="cs-CZ"/>
              </w:rPr>
            </w:pPr>
            <w:r>
              <w:rPr>
                <w:rFonts w:eastAsia="Times New Roman" w:cs="Arial"/>
                <w:b/>
                <w:sz w:val="16"/>
                <w:szCs w:val="16"/>
                <w:lang w:eastAsia="cs-CZ"/>
              </w:rPr>
              <w:t>Významný p</w:t>
            </w:r>
            <w:r w:rsidR="006A1628" w:rsidRPr="004E5BB3">
              <w:rPr>
                <w:rFonts w:eastAsia="Times New Roman" w:cs="Arial"/>
                <w:b/>
                <w:sz w:val="16"/>
                <w:szCs w:val="16"/>
                <w:lang w:eastAsia="cs-CZ"/>
              </w:rPr>
              <w:t>okrok</w:t>
            </w:r>
          </w:p>
          <w:p w:rsidR="006A1628" w:rsidRDefault="006A1628" w:rsidP="00F354DD">
            <w:pPr>
              <w:spacing w:after="0" w:line="240" w:lineRule="auto"/>
              <w:rPr>
                <w:rFonts w:eastAsia="Times New Roman" w:cs="Arial"/>
                <w:sz w:val="16"/>
                <w:szCs w:val="16"/>
                <w:lang w:eastAsia="cs-CZ"/>
              </w:rPr>
            </w:pPr>
            <w:r w:rsidRPr="00B00625">
              <w:rPr>
                <w:rFonts w:eastAsia="Times New Roman" w:cs="Arial"/>
                <w:sz w:val="16"/>
                <w:szCs w:val="16"/>
                <w:lang w:eastAsia="cs-CZ"/>
              </w:rPr>
              <w:t xml:space="preserve">Národní ústav pro vzdělávání pracuje na úpravě všeobecně vzdělávacího kurikula v rámcových vzdělávacích programech pro MŠ, ZŠ a SŠ v oblasti rozvoje digitálních kompetencí (digitální gramotnosti, DG) a informatického myšlení (IM) dětí a žáků. </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Úkol Inovace kurikula – úkoly plynoucí ze Strategie digitálního vzdělávání pokračuje i v roce 2017. Byla definována digitální gramotnost i informatické myšlení. Vymezil se rámcově vzdělávací obsah vzdělávací oblasti Informatika a průřezové/klíčové kompetence digitální gramotnost. Identifikovala se témata vztahující se k digitálním technologiím v neinformatických vzdělávacích oborech. Průběžně probíhá diskuze k navrhovaným změnám:</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2. 3. – panelová diskuze České národní koalice pro digitální pracovní místa „„Digitální dovednosti ve vzdělávání: Jaké digitální dovednosti očekáváme, že mají ovládat žáci na konci základní školy.“, MŠMT</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21. 3. – konference „ICT ve školství“, https://www.eventworld.cz/akce/ict-ve-skolstvi-2017-111/pozvanka-ict-ve-skolstvi-2017</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11. – 13. 4. konference „Počítač ve škole“, http://www.pocitacveskole.cz/, vystoupení v úvodním části a workshop ke koncepci rozvoje digitální gramotnosti a informatického myšlení</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 xml:space="preserve">6. 6. – </w:t>
            </w:r>
            <w:proofErr w:type="spellStart"/>
            <w:r w:rsidRPr="00F354DD">
              <w:rPr>
                <w:rFonts w:eastAsia="Times New Roman" w:cs="Arial"/>
                <w:sz w:val="16"/>
                <w:szCs w:val="16"/>
                <w:lang w:eastAsia="cs-CZ"/>
              </w:rPr>
              <w:t>minikonference</w:t>
            </w:r>
            <w:proofErr w:type="spellEnd"/>
            <w:r w:rsidRPr="00F354DD">
              <w:rPr>
                <w:rFonts w:eastAsia="Times New Roman" w:cs="Arial"/>
                <w:sz w:val="16"/>
                <w:szCs w:val="16"/>
                <w:lang w:eastAsia="cs-CZ"/>
              </w:rPr>
              <w:t xml:space="preserve"> projektu PPUČ – setkání s odborným panelem a dalšími zainteresovanými stranami (fakultami, institucemi a projekty) k digitální gramotnosti a informatickému myšlení, součástí bude i diskuze k připravovaným úpravám RVP</w:t>
            </w:r>
          </w:p>
          <w:p w:rsidR="00F354DD" w:rsidRPr="00044A2B"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9. 6. Interdisciplinární studentská vědecká konference doktorandů FPE</w:t>
            </w:r>
          </w:p>
        </w:tc>
        <w:tc>
          <w:tcPr>
            <w:tcW w:w="127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31.12.2017</w:t>
            </w:r>
            <w:proofErr w:type="gramEnd"/>
          </w:p>
        </w:tc>
        <w:tc>
          <w:tcPr>
            <w:tcW w:w="2835" w:type="dxa"/>
            <w:tcBorders>
              <w:top w:val="nil"/>
              <w:left w:val="nil"/>
              <w:bottom w:val="single" w:sz="4" w:space="0" w:color="auto"/>
              <w:right w:val="single" w:sz="4" w:space="0" w:color="auto"/>
            </w:tcBorders>
            <w:shd w:val="clear" w:color="auto" w:fill="auto"/>
            <w:hideMark/>
          </w:tcPr>
          <w:p w:rsidR="006A1628"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p w:rsidR="006A1628" w:rsidRPr="00044A2B" w:rsidRDefault="006A1628" w:rsidP="0045041A">
            <w:pPr>
              <w:spacing w:after="0" w:line="240" w:lineRule="auto"/>
              <w:rPr>
                <w:rFonts w:eastAsia="Times New Roman" w:cs="Arial"/>
                <w:sz w:val="16"/>
                <w:szCs w:val="16"/>
                <w:lang w:eastAsia="cs-CZ"/>
              </w:rPr>
            </w:pPr>
          </w:p>
        </w:tc>
      </w:tr>
      <w:tr w:rsidR="006A1628" w:rsidRPr="00044A2B" w:rsidTr="004E5BB3">
        <w:trPr>
          <w:trHeight w:val="706"/>
        </w:trPr>
        <w:tc>
          <w:tcPr>
            <w:tcW w:w="1226" w:type="dxa"/>
            <w:vMerge/>
            <w:tcBorders>
              <w:top w:val="nil"/>
              <w:left w:val="single" w:sz="4" w:space="0" w:color="auto"/>
              <w:bottom w:val="single" w:sz="4" w:space="0" w:color="auto"/>
              <w:right w:val="single" w:sz="4" w:space="0" w:color="auto"/>
            </w:tcBorders>
            <w:vAlign w:val="center"/>
            <w:hideMark/>
          </w:tcPr>
          <w:p w:rsidR="006A1628" w:rsidRPr="00044A2B" w:rsidRDefault="006A1628"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2.2.2 Tvorba učebních zdrojů, učebních textů a on line materiálů pro žáky podporujících modernizovaný vzdělávací obsah vzdělávacích oblastí RVP.</w:t>
            </w:r>
          </w:p>
        </w:tc>
        <w:tc>
          <w:tcPr>
            <w:tcW w:w="992"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NIDV, NÚV, další</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CE406F" w:rsidP="0045041A">
            <w:pPr>
              <w:spacing w:after="0" w:line="240" w:lineRule="auto"/>
              <w:rPr>
                <w:rFonts w:eastAsia="Times New Roman" w:cs="Arial"/>
                <w:b/>
                <w:sz w:val="16"/>
                <w:szCs w:val="16"/>
                <w:lang w:eastAsia="cs-CZ"/>
              </w:rPr>
            </w:pPr>
            <w:r>
              <w:rPr>
                <w:rFonts w:eastAsia="Times New Roman" w:cs="Arial"/>
                <w:b/>
                <w:sz w:val="16"/>
                <w:szCs w:val="16"/>
                <w:lang w:eastAsia="cs-CZ"/>
              </w:rPr>
              <w:t>P</w:t>
            </w:r>
            <w:r w:rsidR="006A1628" w:rsidRPr="004E5BB3">
              <w:rPr>
                <w:rFonts w:eastAsia="Times New Roman" w:cs="Arial"/>
                <w:b/>
                <w:sz w:val="16"/>
                <w:szCs w:val="16"/>
                <w:lang w:eastAsia="cs-CZ"/>
              </w:rPr>
              <w:t>okrok</w:t>
            </w:r>
          </w:p>
          <w:p w:rsidR="006A1628" w:rsidRPr="00B00625" w:rsidRDefault="006A1628" w:rsidP="00B00625">
            <w:pPr>
              <w:spacing w:after="0" w:line="240" w:lineRule="auto"/>
              <w:rPr>
                <w:rFonts w:eastAsia="Times New Roman" w:cs="Arial"/>
                <w:sz w:val="16"/>
                <w:szCs w:val="16"/>
                <w:lang w:eastAsia="cs-CZ"/>
              </w:rPr>
            </w:pPr>
            <w:r w:rsidRPr="00B00625">
              <w:rPr>
                <w:rFonts w:eastAsia="Times New Roman" w:cs="Arial"/>
                <w:sz w:val="16"/>
                <w:szCs w:val="16"/>
                <w:lang w:eastAsia="cs-CZ"/>
              </w:rPr>
              <w:t>Byl připraven plán výzev v OP VVV zaměřených na implementaci Strategie digitálního vzdělávání (ISDV):</w:t>
            </w:r>
          </w:p>
          <w:p w:rsidR="006A1628" w:rsidRPr="00B00625" w:rsidRDefault="006A1628" w:rsidP="00246A0B">
            <w:pPr>
              <w:pStyle w:val="Odstavecseseznamem"/>
              <w:numPr>
                <w:ilvl w:val="0"/>
                <w:numId w:val="10"/>
              </w:numPr>
              <w:spacing w:after="0" w:line="240" w:lineRule="auto"/>
              <w:ind w:left="214" w:hanging="218"/>
              <w:rPr>
                <w:rFonts w:eastAsia="Times New Roman" w:cs="Arial"/>
                <w:sz w:val="16"/>
                <w:szCs w:val="16"/>
                <w:lang w:eastAsia="cs-CZ"/>
              </w:rPr>
            </w:pPr>
            <w:r w:rsidRPr="00B00625">
              <w:rPr>
                <w:rFonts w:eastAsia="Times New Roman" w:cs="Arial"/>
                <w:sz w:val="16"/>
                <w:szCs w:val="16"/>
                <w:lang w:eastAsia="cs-CZ"/>
              </w:rPr>
              <w:t xml:space="preserve">ISDV I. (individuální projekty koncepční) – výzva vyhlášena 1. 11. 2016 (http://www.msmt.cz/strukturalni-fondy-1/vyzva-c-02-16-036-implementace-strategie-digitalniho) </w:t>
            </w:r>
          </w:p>
          <w:p w:rsidR="006A1628" w:rsidRPr="00B00625" w:rsidRDefault="006A1628" w:rsidP="00246A0B">
            <w:pPr>
              <w:pStyle w:val="Odstavecseseznamem"/>
              <w:numPr>
                <w:ilvl w:val="0"/>
                <w:numId w:val="10"/>
              </w:numPr>
              <w:spacing w:after="0" w:line="240" w:lineRule="auto"/>
              <w:ind w:left="214" w:hanging="218"/>
              <w:rPr>
                <w:rFonts w:eastAsia="Times New Roman" w:cs="Arial"/>
                <w:sz w:val="16"/>
                <w:szCs w:val="16"/>
                <w:lang w:eastAsia="cs-CZ"/>
              </w:rPr>
            </w:pPr>
            <w:r w:rsidRPr="00B00625">
              <w:rPr>
                <w:rFonts w:eastAsia="Times New Roman" w:cs="Arial"/>
                <w:sz w:val="16"/>
                <w:szCs w:val="16"/>
                <w:lang w:eastAsia="cs-CZ"/>
              </w:rPr>
              <w:t>ISDV II. (individuální projekty ostatní) – plán vyhlášení 2018</w:t>
            </w:r>
          </w:p>
          <w:p w:rsidR="006A1628" w:rsidRPr="00B00625" w:rsidRDefault="006A1628" w:rsidP="00246A0B">
            <w:pPr>
              <w:pStyle w:val="Odstavecseseznamem"/>
              <w:numPr>
                <w:ilvl w:val="0"/>
                <w:numId w:val="10"/>
              </w:numPr>
              <w:spacing w:after="0" w:line="240" w:lineRule="auto"/>
              <w:ind w:left="214" w:hanging="218"/>
              <w:rPr>
                <w:rFonts w:eastAsia="Times New Roman" w:cs="Arial"/>
                <w:sz w:val="16"/>
                <w:szCs w:val="16"/>
                <w:lang w:eastAsia="cs-CZ"/>
              </w:rPr>
            </w:pPr>
            <w:r w:rsidRPr="00B00625">
              <w:rPr>
                <w:rFonts w:eastAsia="Times New Roman" w:cs="Arial"/>
                <w:sz w:val="16"/>
                <w:szCs w:val="16"/>
                <w:lang w:eastAsia="cs-CZ"/>
              </w:rPr>
              <w:t xml:space="preserve">Šablony </w:t>
            </w:r>
            <w:r w:rsidR="009C1AC6">
              <w:rPr>
                <w:rFonts w:eastAsia="Times New Roman" w:cs="Arial"/>
                <w:sz w:val="16"/>
                <w:szCs w:val="16"/>
                <w:lang w:eastAsia="cs-CZ"/>
              </w:rPr>
              <w:t xml:space="preserve">III </w:t>
            </w:r>
            <w:r w:rsidRPr="00B00625">
              <w:rPr>
                <w:rFonts w:eastAsia="Times New Roman" w:cs="Arial"/>
                <w:sz w:val="16"/>
                <w:szCs w:val="16"/>
                <w:lang w:eastAsia="cs-CZ"/>
              </w:rPr>
              <w:t>pro školy – plán vyhlášení 2020</w:t>
            </w:r>
          </w:p>
          <w:p w:rsidR="006A1628" w:rsidRPr="00044A2B" w:rsidRDefault="006A1628" w:rsidP="00B00625">
            <w:pPr>
              <w:spacing w:after="0" w:line="240" w:lineRule="auto"/>
              <w:rPr>
                <w:rFonts w:eastAsia="Times New Roman" w:cs="Arial"/>
                <w:sz w:val="16"/>
                <w:szCs w:val="16"/>
                <w:lang w:eastAsia="cs-CZ"/>
              </w:rPr>
            </w:pPr>
            <w:r w:rsidRPr="00B00625">
              <w:rPr>
                <w:rFonts w:eastAsia="Times New Roman" w:cs="Arial"/>
                <w:sz w:val="16"/>
                <w:szCs w:val="16"/>
                <w:lang w:eastAsia="cs-CZ"/>
              </w:rPr>
              <w:t>Metodická podpora školám zaměřená na využití digitálních technologií ve výuce a pro učení žáků je i součástí ostatních výzev v OP VVV primárně zaměřených na jinou než digitální problematiku.</w:t>
            </w:r>
          </w:p>
        </w:tc>
        <w:tc>
          <w:tcPr>
            <w:tcW w:w="127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31.12.2017</w:t>
            </w:r>
            <w:proofErr w:type="gramEnd"/>
            <w:r w:rsidR="00CE406F">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6A1628" w:rsidRPr="00044A2B" w:rsidRDefault="006A1628" w:rsidP="00CE406F">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r w:rsidR="006A1628" w:rsidRPr="00044A2B" w:rsidTr="006A1628">
        <w:trPr>
          <w:trHeight w:val="1155"/>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xml:space="preserve">2.3 Modernizace vzdělávací oblasti ICT v rámcových vzdělávacích programech, zdůraznění </w:t>
            </w:r>
            <w:r w:rsidRPr="00044A2B">
              <w:rPr>
                <w:rFonts w:eastAsia="Times New Roman" w:cs="Arial"/>
                <w:sz w:val="16"/>
                <w:szCs w:val="16"/>
                <w:lang w:eastAsia="cs-CZ"/>
              </w:rPr>
              <w:lastRenderedPageBreak/>
              <w:t>informatického myšlení</w:t>
            </w:r>
          </w:p>
        </w:tc>
        <w:tc>
          <w:tcPr>
            <w:tcW w:w="3027"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lastRenderedPageBreak/>
              <w:t>2.3.1 Modernizace znění RVP ve vzdělávací oblasti ICT. V souladu s revizí RVP jsou revidovány i na něj navázané standardy.</w:t>
            </w:r>
          </w:p>
        </w:tc>
        <w:tc>
          <w:tcPr>
            <w:tcW w:w="992"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NÚV</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CE406F" w:rsidP="00683932">
            <w:pPr>
              <w:spacing w:after="0" w:line="240" w:lineRule="auto"/>
              <w:rPr>
                <w:rFonts w:eastAsia="Times New Roman" w:cs="Arial"/>
                <w:b/>
                <w:sz w:val="16"/>
                <w:szCs w:val="16"/>
                <w:lang w:eastAsia="cs-CZ"/>
              </w:rPr>
            </w:pPr>
            <w:r>
              <w:rPr>
                <w:rFonts w:eastAsia="Times New Roman" w:cs="Arial"/>
                <w:b/>
                <w:sz w:val="16"/>
                <w:szCs w:val="16"/>
                <w:lang w:eastAsia="cs-CZ"/>
              </w:rPr>
              <w:t>Významný pokrok</w:t>
            </w:r>
          </w:p>
          <w:p w:rsidR="006A1628" w:rsidRDefault="006A1628" w:rsidP="00F354DD">
            <w:pPr>
              <w:spacing w:after="0" w:line="240" w:lineRule="auto"/>
              <w:rPr>
                <w:rFonts w:eastAsia="Times New Roman" w:cs="Arial"/>
                <w:sz w:val="16"/>
                <w:szCs w:val="16"/>
                <w:lang w:eastAsia="cs-CZ"/>
              </w:rPr>
            </w:pPr>
            <w:r w:rsidRPr="00B00625">
              <w:rPr>
                <w:rFonts w:eastAsia="Times New Roman" w:cs="Arial"/>
                <w:sz w:val="16"/>
                <w:szCs w:val="16"/>
                <w:lang w:eastAsia="cs-CZ"/>
              </w:rPr>
              <w:t xml:space="preserve">Národní ústav pro vzdělávání pracuje na úpravě všeobecně vzdělávacího kurikula v rámcových vzdělávacích programech pro MŠ, ZŠ a SŠ v oblasti rozvoje digitálních kompetencí (digitální gramotnosti, DG) a informatického myšlení (IM) dětí a žáků. </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 xml:space="preserve">Úkol Inovace kurikula – úkoly plynoucí ze Strategie digitálního vzdělávání pokračuje i v roce 2017. Byla definována digitální gramotnost i informatické myšlení. Vymezil se rámcově vzdělávací obsah vzdělávací oblasti Informatika a průřezové/klíčové kompetence digitální gramotnost. Identifikovala se témata vztahující se k digitálním technologiím v </w:t>
            </w:r>
            <w:r w:rsidRPr="00F354DD">
              <w:rPr>
                <w:rFonts w:eastAsia="Times New Roman" w:cs="Arial"/>
                <w:sz w:val="16"/>
                <w:szCs w:val="16"/>
                <w:lang w:eastAsia="cs-CZ"/>
              </w:rPr>
              <w:lastRenderedPageBreak/>
              <w:t>neinformatických vzdělávacích oborech. Průběžně probíhá diskuze k navrhovaným změnám:</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2. 3. – panelová diskuze České národní koalice pro digitální pracovní místa „„Digitální dovednosti ve vzdělávání: Jaké digitální dovednosti očekáváme, že mají ovládat žáci na konci základní školy.“, MŠMT</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21. 3. – konference „ICT ve školství“, https://www.eventworld.cz/akce/ict-ve-skolstvi-2017-111/pozvanka-ict-ve-skolstvi-2017</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11. – 13. 4. konference „Počítač ve škole“, http://www.pocitacveskole.cz/, vystoupení v úvodním části a workshop ke koncepci rozvoje digitální gramotnosti a informatického myšlení</w:t>
            </w:r>
          </w:p>
          <w:p w:rsidR="00F354DD" w:rsidRPr="00F354DD"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 xml:space="preserve">6. 6. – </w:t>
            </w:r>
            <w:proofErr w:type="spellStart"/>
            <w:r w:rsidRPr="00F354DD">
              <w:rPr>
                <w:rFonts w:eastAsia="Times New Roman" w:cs="Arial"/>
                <w:sz w:val="16"/>
                <w:szCs w:val="16"/>
                <w:lang w:eastAsia="cs-CZ"/>
              </w:rPr>
              <w:t>minikonference</w:t>
            </w:r>
            <w:proofErr w:type="spellEnd"/>
            <w:r w:rsidRPr="00F354DD">
              <w:rPr>
                <w:rFonts w:eastAsia="Times New Roman" w:cs="Arial"/>
                <w:sz w:val="16"/>
                <w:szCs w:val="16"/>
                <w:lang w:eastAsia="cs-CZ"/>
              </w:rPr>
              <w:t xml:space="preserve"> projektu PPUČ – setkání s odborným panelem a dalšími zainteresovanými stranami (fakultami, institucemi a projekty) k digitální gramotnosti a informatickému myšlení, součástí bude i diskuze k připravovaným úpravám RVP</w:t>
            </w:r>
          </w:p>
          <w:p w:rsidR="00F354DD" w:rsidRPr="00044A2B" w:rsidRDefault="00F354DD" w:rsidP="00F354DD">
            <w:pPr>
              <w:spacing w:after="0" w:line="240" w:lineRule="auto"/>
              <w:rPr>
                <w:rFonts w:eastAsia="Times New Roman" w:cs="Arial"/>
                <w:sz w:val="16"/>
                <w:szCs w:val="16"/>
                <w:lang w:eastAsia="cs-CZ"/>
              </w:rPr>
            </w:pPr>
            <w:r w:rsidRPr="00F354DD">
              <w:rPr>
                <w:rFonts w:eastAsia="Times New Roman" w:cs="Arial"/>
                <w:sz w:val="16"/>
                <w:szCs w:val="16"/>
                <w:lang w:eastAsia="cs-CZ"/>
              </w:rPr>
              <w:t>9. 6. Interdisciplinární studentská vědecká konference doktorandů FPE</w:t>
            </w:r>
          </w:p>
        </w:tc>
        <w:tc>
          <w:tcPr>
            <w:tcW w:w="127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lastRenderedPageBreak/>
              <w:t>31.12.2017</w:t>
            </w:r>
            <w:proofErr w:type="gramEnd"/>
          </w:p>
        </w:tc>
        <w:tc>
          <w:tcPr>
            <w:tcW w:w="283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r w:rsidR="006A1628" w:rsidRPr="00044A2B" w:rsidTr="00B23ECD">
        <w:trPr>
          <w:trHeight w:val="738"/>
        </w:trPr>
        <w:tc>
          <w:tcPr>
            <w:tcW w:w="1226" w:type="dxa"/>
            <w:vMerge/>
            <w:tcBorders>
              <w:top w:val="nil"/>
              <w:left w:val="single" w:sz="4" w:space="0" w:color="auto"/>
              <w:bottom w:val="single" w:sz="4" w:space="0" w:color="auto"/>
              <w:right w:val="single" w:sz="4" w:space="0" w:color="auto"/>
            </w:tcBorders>
            <w:vAlign w:val="center"/>
            <w:hideMark/>
          </w:tcPr>
          <w:p w:rsidR="006A1628" w:rsidRPr="00044A2B" w:rsidRDefault="006A1628"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2.3.2 Tvorba učebních zdrojů, učebních textů a on-line materiálů pro žáky podporujících modernizovaný vzdělávací obsah vzdělávací oblasti ICT v RVP.</w:t>
            </w:r>
          </w:p>
        </w:tc>
        <w:tc>
          <w:tcPr>
            <w:tcW w:w="992"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NIDV, NÚV, další</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6A1628" w:rsidP="0005233B">
            <w:pPr>
              <w:spacing w:after="0" w:line="240" w:lineRule="auto"/>
              <w:rPr>
                <w:rFonts w:eastAsia="Times New Roman" w:cs="Arial"/>
                <w:b/>
                <w:sz w:val="16"/>
                <w:szCs w:val="16"/>
                <w:lang w:eastAsia="cs-CZ"/>
              </w:rPr>
            </w:pPr>
            <w:r w:rsidRPr="004E5BB3">
              <w:rPr>
                <w:rFonts w:eastAsia="Times New Roman" w:cs="Arial"/>
                <w:b/>
                <w:sz w:val="16"/>
                <w:szCs w:val="16"/>
                <w:lang w:eastAsia="cs-CZ"/>
              </w:rPr>
              <w:t>Pokrok</w:t>
            </w:r>
          </w:p>
          <w:p w:rsidR="006A1628" w:rsidRPr="00B00625" w:rsidRDefault="006A1628" w:rsidP="0005233B">
            <w:pPr>
              <w:spacing w:after="0" w:line="240" w:lineRule="auto"/>
              <w:rPr>
                <w:rFonts w:eastAsia="Times New Roman" w:cs="Arial"/>
                <w:sz w:val="16"/>
                <w:szCs w:val="16"/>
                <w:lang w:eastAsia="cs-CZ"/>
              </w:rPr>
            </w:pPr>
            <w:r w:rsidRPr="00B00625">
              <w:rPr>
                <w:rFonts w:eastAsia="Times New Roman" w:cs="Arial"/>
                <w:sz w:val="16"/>
                <w:szCs w:val="16"/>
                <w:lang w:eastAsia="cs-CZ"/>
              </w:rPr>
              <w:t>Byl připraven plán výzev v OP VVV zaměřených na implementaci Strategie digitálního vzdělávání (ISDV):</w:t>
            </w:r>
          </w:p>
          <w:p w:rsidR="006A1628" w:rsidRPr="00B00625" w:rsidRDefault="006A1628" w:rsidP="00246A0B">
            <w:pPr>
              <w:pStyle w:val="Odstavecseseznamem"/>
              <w:numPr>
                <w:ilvl w:val="0"/>
                <w:numId w:val="10"/>
              </w:numPr>
              <w:spacing w:after="0" w:line="240" w:lineRule="auto"/>
              <w:ind w:left="214" w:hanging="218"/>
              <w:rPr>
                <w:rFonts w:eastAsia="Times New Roman" w:cs="Arial"/>
                <w:sz w:val="16"/>
                <w:szCs w:val="16"/>
                <w:lang w:eastAsia="cs-CZ"/>
              </w:rPr>
            </w:pPr>
            <w:r w:rsidRPr="00B00625">
              <w:rPr>
                <w:rFonts w:eastAsia="Times New Roman" w:cs="Arial"/>
                <w:sz w:val="16"/>
                <w:szCs w:val="16"/>
                <w:lang w:eastAsia="cs-CZ"/>
              </w:rPr>
              <w:t xml:space="preserve">ISDV I. (individuální projekty koncepční) – výzva vyhlášena 1. 11. 2016 (http://www.msmt.cz/strukturalni-fondy-1/vyzva-c-02-16-036-implementace-strategie-digitalniho) </w:t>
            </w:r>
          </w:p>
          <w:p w:rsidR="006A1628" w:rsidRPr="00B00625" w:rsidRDefault="006A1628" w:rsidP="00246A0B">
            <w:pPr>
              <w:pStyle w:val="Odstavecseseznamem"/>
              <w:numPr>
                <w:ilvl w:val="0"/>
                <w:numId w:val="10"/>
              </w:numPr>
              <w:spacing w:after="0" w:line="240" w:lineRule="auto"/>
              <w:ind w:left="214" w:hanging="218"/>
              <w:rPr>
                <w:rFonts w:eastAsia="Times New Roman" w:cs="Arial"/>
                <w:sz w:val="16"/>
                <w:szCs w:val="16"/>
                <w:lang w:eastAsia="cs-CZ"/>
              </w:rPr>
            </w:pPr>
            <w:r w:rsidRPr="00B00625">
              <w:rPr>
                <w:rFonts w:eastAsia="Times New Roman" w:cs="Arial"/>
                <w:sz w:val="16"/>
                <w:szCs w:val="16"/>
                <w:lang w:eastAsia="cs-CZ"/>
              </w:rPr>
              <w:t>ISDV II. (individuální projekty ostatní) – plán vyhlášení 2018</w:t>
            </w:r>
          </w:p>
          <w:p w:rsidR="006A1628" w:rsidRPr="00B00625" w:rsidRDefault="006A1628" w:rsidP="00246A0B">
            <w:pPr>
              <w:pStyle w:val="Odstavecseseznamem"/>
              <w:numPr>
                <w:ilvl w:val="0"/>
                <w:numId w:val="10"/>
              </w:numPr>
              <w:spacing w:after="0" w:line="240" w:lineRule="auto"/>
              <w:ind w:left="214" w:hanging="218"/>
              <w:rPr>
                <w:rFonts w:eastAsia="Times New Roman" w:cs="Arial"/>
                <w:sz w:val="16"/>
                <w:szCs w:val="16"/>
                <w:lang w:eastAsia="cs-CZ"/>
              </w:rPr>
            </w:pPr>
            <w:r w:rsidRPr="00B00625">
              <w:rPr>
                <w:rFonts w:eastAsia="Times New Roman" w:cs="Arial"/>
                <w:sz w:val="16"/>
                <w:szCs w:val="16"/>
                <w:lang w:eastAsia="cs-CZ"/>
              </w:rPr>
              <w:t>Šablony pro školy – plán vyhlášení 2020</w:t>
            </w:r>
          </w:p>
          <w:p w:rsidR="006A1628" w:rsidRPr="00044A2B" w:rsidRDefault="006A1628" w:rsidP="0005233B">
            <w:pPr>
              <w:spacing w:after="0" w:line="240" w:lineRule="auto"/>
              <w:rPr>
                <w:rFonts w:eastAsia="Times New Roman" w:cs="Arial"/>
                <w:sz w:val="16"/>
                <w:szCs w:val="16"/>
                <w:lang w:eastAsia="cs-CZ"/>
              </w:rPr>
            </w:pPr>
            <w:r w:rsidRPr="00B00625">
              <w:rPr>
                <w:rFonts w:eastAsia="Times New Roman" w:cs="Arial"/>
                <w:sz w:val="16"/>
                <w:szCs w:val="16"/>
                <w:lang w:eastAsia="cs-CZ"/>
              </w:rPr>
              <w:t>Metodická podpora školám zaměřená na využití digitálních technologií ve výuce a pro učení žáků je i součástí ostatních výzev v OP VVV primárně zaměřených na jinou než digitální problematiku.</w:t>
            </w:r>
          </w:p>
        </w:tc>
        <w:tc>
          <w:tcPr>
            <w:tcW w:w="127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31.12.2017</w:t>
            </w:r>
            <w:proofErr w:type="gramEnd"/>
            <w:r w:rsidR="00CE406F">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6A1628" w:rsidRPr="00044A2B" w:rsidRDefault="006A1628" w:rsidP="00CE406F">
            <w:pPr>
              <w:spacing w:after="0" w:line="240" w:lineRule="auto"/>
              <w:rPr>
                <w:rFonts w:eastAsia="Times New Roman" w:cs="Arial"/>
                <w:sz w:val="16"/>
                <w:szCs w:val="16"/>
                <w:lang w:eastAsia="cs-CZ"/>
              </w:rPr>
            </w:pPr>
          </w:p>
        </w:tc>
      </w:tr>
      <w:tr w:rsidR="006A1628" w:rsidRPr="00044A2B" w:rsidTr="006A1628">
        <w:trPr>
          <w:trHeight w:val="1369"/>
        </w:trPr>
        <w:tc>
          <w:tcPr>
            <w:tcW w:w="1226" w:type="dxa"/>
            <w:tcBorders>
              <w:top w:val="nil"/>
              <w:left w:val="single" w:sz="4" w:space="0" w:color="auto"/>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2.4 Propojení formálního a neformálního vzdělávání a informálního učení</w:t>
            </w:r>
          </w:p>
        </w:tc>
        <w:tc>
          <w:tcPr>
            <w:tcW w:w="3027"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2.4.1 Formou výzev z operačních programů (OP VVV, IROP – MMR atp.) a rozvojových programů MŠMT (např. malé granty) bude podpořena činnost jednotlivců a neziskových organizací směřující ke tvorbě učebních příležitostí a on-line prostředí.</w:t>
            </w:r>
          </w:p>
        </w:tc>
        <w:tc>
          <w:tcPr>
            <w:tcW w:w="992"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MMR, MPSV</w:t>
            </w:r>
          </w:p>
        </w:tc>
        <w:tc>
          <w:tcPr>
            <w:tcW w:w="5954" w:type="dxa"/>
            <w:tcBorders>
              <w:top w:val="nil"/>
              <w:left w:val="nil"/>
              <w:bottom w:val="single" w:sz="4" w:space="0" w:color="auto"/>
              <w:right w:val="single" w:sz="4" w:space="0" w:color="auto"/>
            </w:tcBorders>
            <w:shd w:val="clear" w:color="auto" w:fill="auto"/>
            <w:hideMark/>
          </w:tcPr>
          <w:p w:rsidR="006A1628" w:rsidRPr="004E5BB3" w:rsidRDefault="006A1628" w:rsidP="0045041A">
            <w:pPr>
              <w:spacing w:after="0" w:line="240" w:lineRule="auto"/>
              <w:rPr>
                <w:rFonts w:eastAsia="Times New Roman" w:cs="Arial"/>
                <w:b/>
                <w:sz w:val="16"/>
                <w:szCs w:val="16"/>
                <w:lang w:eastAsia="cs-CZ"/>
              </w:rPr>
            </w:pPr>
            <w:r w:rsidRPr="004E5BB3">
              <w:rPr>
                <w:rFonts w:eastAsia="Times New Roman" w:cs="Arial"/>
                <w:b/>
                <w:sz w:val="16"/>
                <w:szCs w:val="16"/>
                <w:lang w:eastAsia="cs-CZ"/>
              </w:rPr>
              <w:t>Pokrok</w:t>
            </w:r>
          </w:p>
          <w:p w:rsidR="00F354DD" w:rsidRPr="00F354DD" w:rsidRDefault="00990701" w:rsidP="00F354DD">
            <w:pPr>
              <w:spacing w:after="0" w:line="240" w:lineRule="auto"/>
              <w:rPr>
                <w:rFonts w:eastAsia="Times New Roman" w:cs="Arial"/>
                <w:sz w:val="16"/>
                <w:szCs w:val="16"/>
                <w:lang w:eastAsia="cs-CZ"/>
              </w:rPr>
            </w:pPr>
            <w:r>
              <w:rPr>
                <w:rFonts w:eastAsia="Times New Roman" w:cs="Arial"/>
                <w:sz w:val="16"/>
                <w:szCs w:val="16"/>
                <w:lang w:eastAsia="cs-CZ"/>
              </w:rPr>
              <w:t>Dotační programy MŠMT</w:t>
            </w:r>
            <w:r w:rsidR="00F354DD" w:rsidRPr="00F354DD">
              <w:rPr>
                <w:rFonts w:eastAsia="Times New Roman" w:cs="Arial"/>
                <w:sz w:val="16"/>
                <w:szCs w:val="16"/>
                <w:lang w:eastAsia="cs-CZ"/>
              </w:rPr>
              <w:t>:</w:t>
            </w:r>
          </w:p>
          <w:p w:rsidR="00F354DD" w:rsidRPr="00990701" w:rsidRDefault="00F354DD" w:rsidP="00246A0B">
            <w:pPr>
              <w:pStyle w:val="Odstavecseseznamem"/>
              <w:numPr>
                <w:ilvl w:val="0"/>
                <w:numId w:val="14"/>
              </w:numPr>
              <w:spacing w:after="0" w:line="240" w:lineRule="auto"/>
              <w:ind w:left="355"/>
              <w:rPr>
                <w:rFonts w:eastAsia="Times New Roman" w:cs="Arial"/>
                <w:sz w:val="16"/>
                <w:szCs w:val="16"/>
                <w:lang w:eastAsia="cs-CZ"/>
              </w:rPr>
            </w:pPr>
            <w:r w:rsidRPr="00990701">
              <w:rPr>
                <w:rFonts w:eastAsia="Times New Roman" w:cs="Arial"/>
                <w:sz w:val="16"/>
                <w:szCs w:val="16"/>
                <w:lang w:eastAsia="cs-CZ"/>
              </w:rPr>
              <w:t>„Podpora nadaných žá</w:t>
            </w:r>
            <w:r w:rsidR="00990701" w:rsidRPr="00990701">
              <w:rPr>
                <w:rFonts w:eastAsia="Times New Roman" w:cs="Arial"/>
                <w:sz w:val="16"/>
                <w:szCs w:val="16"/>
                <w:lang w:eastAsia="cs-CZ"/>
              </w:rPr>
              <w:t xml:space="preserve">ků základních a středních škol“, </w:t>
            </w:r>
            <w:r w:rsidRPr="00990701">
              <w:rPr>
                <w:rFonts w:eastAsia="Times New Roman" w:cs="Arial"/>
                <w:sz w:val="16"/>
                <w:szCs w:val="16"/>
                <w:lang w:eastAsia="cs-CZ"/>
              </w:rPr>
              <w:t>podpora organizací, které se věnují zájmovému vzdělávání nadaných dětí, žáků a mládeže</w:t>
            </w:r>
            <w:r w:rsidR="00990701" w:rsidRPr="00990701">
              <w:rPr>
                <w:rFonts w:eastAsia="Times New Roman" w:cs="Arial"/>
                <w:sz w:val="16"/>
                <w:szCs w:val="16"/>
                <w:lang w:eastAsia="cs-CZ"/>
              </w:rPr>
              <w:t>, o</w:t>
            </w:r>
            <w:r w:rsidRPr="00990701">
              <w:rPr>
                <w:rFonts w:eastAsia="Times New Roman" w:cs="Arial"/>
                <w:sz w:val="16"/>
                <w:szCs w:val="16"/>
                <w:lang w:eastAsia="cs-CZ"/>
              </w:rPr>
              <w:t>právněný žadatel: VŠ, veřejné výzkumné instituce, SVČ, NNO jejichž předmětem činnosti je podpora nadaných dětí, žáků a mládeže</w:t>
            </w:r>
            <w:r w:rsidR="00990701" w:rsidRPr="00990701">
              <w:rPr>
                <w:rFonts w:eastAsia="Times New Roman" w:cs="Arial"/>
                <w:sz w:val="16"/>
                <w:szCs w:val="16"/>
                <w:lang w:eastAsia="cs-CZ"/>
              </w:rPr>
              <w:t>, c</w:t>
            </w:r>
            <w:r w:rsidRPr="00990701">
              <w:rPr>
                <w:rFonts w:eastAsia="Times New Roman" w:cs="Arial"/>
                <w:sz w:val="16"/>
                <w:szCs w:val="16"/>
                <w:lang w:eastAsia="cs-CZ"/>
              </w:rPr>
              <w:t>elková výše podpory v roce 2016:</w:t>
            </w:r>
            <w:r w:rsidR="00A7744D">
              <w:rPr>
                <w:rFonts w:eastAsia="Times New Roman" w:cs="Arial"/>
                <w:sz w:val="16"/>
                <w:szCs w:val="16"/>
                <w:lang w:eastAsia="cs-CZ"/>
              </w:rPr>
              <w:t xml:space="preserve"> </w:t>
            </w:r>
            <w:r w:rsidRPr="00990701">
              <w:rPr>
                <w:rFonts w:eastAsia="Times New Roman" w:cs="Arial"/>
                <w:sz w:val="16"/>
                <w:szCs w:val="16"/>
                <w:lang w:eastAsia="cs-CZ"/>
              </w:rPr>
              <w:t>10 miliónů Kč, 2017: 10 miliónu Kč</w:t>
            </w:r>
          </w:p>
          <w:p w:rsidR="006A1628" w:rsidRPr="00990701" w:rsidRDefault="00F354DD" w:rsidP="00246A0B">
            <w:pPr>
              <w:pStyle w:val="Odstavecseseznamem"/>
              <w:numPr>
                <w:ilvl w:val="0"/>
                <w:numId w:val="14"/>
              </w:numPr>
              <w:spacing w:after="0" w:line="240" w:lineRule="auto"/>
              <w:ind w:left="355"/>
              <w:rPr>
                <w:rFonts w:eastAsia="Times New Roman" w:cs="Arial"/>
                <w:sz w:val="16"/>
                <w:szCs w:val="16"/>
                <w:lang w:eastAsia="cs-CZ"/>
              </w:rPr>
            </w:pPr>
            <w:r w:rsidRPr="00990701">
              <w:rPr>
                <w:rFonts w:eastAsia="Times New Roman" w:cs="Arial"/>
                <w:sz w:val="16"/>
                <w:szCs w:val="16"/>
                <w:lang w:eastAsia="cs-CZ"/>
              </w:rPr>
              <w:t xml:space="preserve">„Program na podporu </w:t>
            </w:r>
            <w:r w:rsidR="00990701" w:rsidRPr="00990701">
              <w:rPr>
                <w:rFonts w:eastAsia="Times New Roman" w:cs="Arial"/>
                <w:sz w:val="16"/>
                <w:szCs w:val="16"/>
                <w:lang w:eastAsia="cs-CZ"/>
              </w:rPr>
              <w:t xml:space="preserve">Informačních center pro mládež“, </w:t>
            </w:r>
            <w:r w:rsidRPr="00990701">
              <w:rPr>
                <w:rFonts w:eastAsia="Times New Roman" w:cs="Arial"/>
                <w:sz w:val="16"/>
                <w:szCs w:val="16"/>
                <w:lang w:eastAsia="cs-CZ"/>
              </w:rPr>
              <w:t>rozvoj kompetencí mládeže pracovat s informacemi, propojovat formální a neformální vzdělávání</w:t>
            </w:r>
            <w:r w:rsidR="00990701" w:rsidRPr="00990701">
              <w:rPr>
                <w:rFonts w:eastAsia="Times New Roman" w:cs="Arial"/>
                <w:sz w:val="16"/>
                <w:szCs w:val="16"/>
                <w:lang w:eastAsia="cs-CZ"/>
              </w:rPr>
              <w:t>, o</w:t>
            </w:r>
            <w:r w:rsidR="00DA1FE0">
              <w:rPr>
                <w:rFonts w:eastAsia="Times New Roman" w:cs="Arial"/>
                <w:sz w:val="16"/>
                <w:szCs w:val="16"/>
                <w:lang w:eastAsia="cs-CZ"/>
              </w:rPr>
              <w:t>právněný žadatel: zřizovat</w:t>
            </w:r>
            <w:r w:rsidR="00A7744D">
              <w:rPr>
                <w:rFonts w:eastAsia="Times New Roman" w:cs="Arial"/>
                <w:sz w:val="16"/>
                <w:szCs w:val="16"/>
                <w:lang w:eastAsia="cs-CZ"/>
              </w:rPr>
              <w:t>el</w:t>
            </w:r>
            <w:r w:rsidRPr="00990701">
              <w:rPr>
                <w:rFonts w:eastAsia="Times New Roman" w:cs="Arial"/>
                <w:sz w:val="16"/>
                <w:szCs w:val="16"/>
                <w:lang w:eastAsia="cs-CZ"/>
              </w:rPr>
              <w:t xml:space="preserve"> provozující certifikovaná ICM</w:t>
            </w:r>
            <w:r w:rsidR="00990701" w:rsidRPr="00990701">
              <w:rPr>
                <w:rFonts w:eastAsia="Times New Roman" w:cs="Arial"/>
                <w:sz w:val="16"/>
                <w:szCs w:val="16"/>
                <w:lang w:eastAsia="cs-CZ"/>
              </w:rPr>
              <w:t>, c</w:t>
            </w:r>
            <w:r w:rsidRPr="00990701">
              <w:rPr>
                <w:rFonts w:eastAsia="Times New Roman" w:cs="Arial"/>
                <w:sz w:val="16"/>
                <w:szCs w:val="16"/>
                <w:lang w:eastAsia="cs-CZ"/>
              </w:rPr>
              <w:t>elková výše podpory v roce 2016: 6,5 miliónů Kč, 2017: 6,5 miliónu Kč</w:t>
            </w:r>
            <w:r w:rsidR="006A1628" w:rsidRPr="00990701">
              <w:rPr>
                <w:rFonts w:eastAsia="Times New Roman" w:cs="Arial"/>
                <w:sz w:val="16"/>
                <w:szCs w:val="16"/>
                <w:lang w:eastAsia="cs-CZ"/>
              </w:rPr>
              <w:t>.</w:t>
            </w:r>
          </w:p>
          <w:p w:rsidR="00990701" w:rsidRPr="00990701" w:rsidRDefault="00990701" w:rsidP="00990701">
            <w:pPr>
              <w:spacing w:after="0" w:line="240" w:lineRule="auto"/>
              <w:rPr>
                <w:rFonts w:eastAsia="Times New Roman" w:cs="Arial"/>
                <w:sz w:val="16"/>
                <w:szCs w:val="16"/>
                <w:lang w:eastAsia="cs-CZ"/>
              </w:rPr>
            </w:pPr>
            <w:r w:rsidRPr="00990701">
              <w:rPr>
                <w:rFonts w:eastAsia="Times New Roman" w:cs="Arial"/>
                <w:sz w:val="16"/>
                <w:szCs w:val="16"/>
                <w:lang w:eastAsia="cs-CZ"/>
              </w:rPr>
              <w:t>Výzvy OP VVV:</w:t>
            </w:r>
          </w:p>
          <w:p w:rsidR="00990701" w:rsidRPr="00990701" w:rsidRDefault="00990701" w:rsidP="00246A0B">
            <w:pPr>
              <w:pStyle w:val="Odstavecseseznamem"/>
              <w:numPr>
                <w:ilvl w:val="0"/>
                <w:numId w:val="14"/>
              </w:numPr>
              <w:spacing w:after="0" w:line="240" w:lineRule="auto"/>
              <w:rPr>
                <w:rFonts w:eastAsia="Times New Roman" w:cs="Arial"/>
                <w:sz w:val="16"/>
                <w:szCs w:val="16"/>
                <w:lang w:eastAsia="cs-CZ"/>
              </w:rPr>
            </w:pPr>
            <w:r w:rsidRPr="00990701">
              <w:rPr>
                <w:rFonts w:eastAsia="Times New Roman" w:cs="Arial"/>
                <w:sz w:val="16"/>
                <w:szCs w:val="16"/>
                <w:lang w:eastAsia="cs-CZ"/>
              </w:rPr>
              <w:t>Šablony pro zájmové vzdělávání (SVČ), zde plánovaná podpora IT aktivit v oblasti vzdělávání pedagogických pracovníků – v plánu výzev pro rok 2017</w:t>
            </w:r>
          </w:p>
          <w:p w:rsidR="00990701" w:rsidRPr="00990701" w:rsidRDefault="00990701" w:rsidP="00246A0B">
            <w:pPr>
              <w:pStyle w:val="Odstavecseseznamem"/>
              <w:numPr>
                <w:ilvl w:val="0"/>
                <w:numId w:val="14"/>
              </w:numPr>
              <w:spacing w:after="0" w:line="240" w:lineRule="auto"/>
              <w:rPr>
                <w:rFonts w:eastAsia="Times New Roman" w:cs="Arial"/>
                <w:sz w:val="16"/>
                <w:szCs w:val="16"/>
                <w:lang w:eastAsia="cs-CZ"/>
              </w:rPr>
            </w:pPr>
            <w:r w:rsidRPr="00990701">
              <w:rPr>
                <w:rFonts w:eastAsia="Times New Roman" w:cs="Arial"/>
                <w:sz w:val="16"/>
                <w:szCs w:val="16"/>
                <w:lang w:eastAsia="cs-CZ"/>
              </w:rPr>
              <w:t>Šablony II pro MŠ, ZŠ, ŠD, ŠK a ZUŠ (vyhlášení zima 2017)</w:t>
            </w:r>
          </w:p>
          <w:p w:rsidR="00990701" w:rsidRPr="00990701" w:rsidRDefault="00990701" w:rsidP="00246A0B">
            <w:pPr>
              <w:pStyle w:val="Odstavecseseznamem"/>
              <w:numPr>
                <w:ilvl w:val="0"/>
                <w:numId w:val="14"/>
              </w:numPr>
              <w:spacing w:after="0" w:line="240" w:lineRule="auto"/>
              <w:rPr>
                <w:rFonts w:eastAsia="Times New Roman" w:cs="Arial"/>
                <w:sz w:val="16"/>
                <w:szCs w:val="16"/>
                <w:lang w:eastAsia="cs-CZ"/>
              </w:rPr>
            </w:pPr>
            <w:r w:rsidRPr="00990701">
              <w:rPr>
                <w:rFonts w:eastAsia="Times New Roman" w:cs="Arial"/>
                <w:sz w:val="16"/>
                <w:szCs w:val="16"/>
                <w:lang w:eastAsia="cs-CZ"/>
              </w:rPr>
              <w:t xml:space="preserve">Součástí výzvy </w:t>
            </w:r>
            <w:proofErr w:type="spellStart"/>
            <w:r w:rsidRPr="00990701">
              <w:rPr>
                <w:rFonts w:eastAsia="Times New Roman" w:cs="Arial"/>
                <w:sz w:val="16"/>
                <w:szCs w:val="16"/>
                <w:lang w:eastAsia="cs-CZ"/>
              </w:rPr>
              <w:t>IPk</w:t>
            </w:r>
            <w:proofErr w:type="spellEnd"/>
            <w:r w:rsidRPr="00990701">
              <w:rPr>
                <w:rFonts w:eastAsia="Times New Roman" w:cs="Arial"/>
                <w:sz w:val="16"/>
                <w:szCs w:val="16"/>
                <w:lang w:eastAsia="cs-CZ"/>
              </w:rPr>
              <w:t xml:space="preserve"> „Budování kapacit II“ zde téma: Rozvoj klíčových kompetencí -  propojení formální</w:t>
            </w:r>
            <w:r>
              <w:rPr>
                <w:rFonts w:eastAsia="Times New Roman" w:cs="Arial"/>
                <w:sz w:val="16"/>
                <w:szCs w:val="16"/>
                <w:lang w:eastAsia="cs-CZ"/>
              </w:rPr>
              <w:t>ho a neformálního vzdělávání</w:t>
            </w:r>
          </w:p>
          <w:p w:rsidR="00990701" w:rsidRPr="00990701" w:rsidRDefault="00990701" w:rsidP="00990701">
            <w:pPr>
              <w:spacing w:after="0" w:line="240" w:lineRule="auto"/>
              <w:rPr>
                <w:rFonts w:eastAsia="Times New Roman" w:cs="Arial"/>
                <w:sz w:val="16"/>
                <w:szCs w:val="16"/>
                <w:lang w:eastAsia="cs-CZ"/>
              </w:rPr>
            </w:pPr>
            <w:r w:rsidRPr="00990701">
              <w:rPr>
                <w:rFonts w:eastAsia="Times New Roman" w:cs="Arial"/>
                <w:sz w:val="16"/>
                <w:szCs w:val="16"/>
                <w:lang w:eastAsia="cs-CZ"/>
              </w:rPr>
              <w:lastRenderedPageBreak/>
              <w:t xml:space="preserve">Výzva IROP na podporu zájmového vzdělávání: </w:t>
            </w:r>
          </w:p>
          <w:p w:rsidR="00990701" w:rsidRPr="00990701" w:rsidRDefault="00990701" w:rsidP="00246A0B">
            <w:pPr>
              <w:pStyle w:val="Odstavecseseznamem"/>
              <w:numPr>
                <w:ilvl w:val="0"/>
                <w:numId w:val="17"/>
              </w:numPr>
              <w:spacing w:after="0" w:line="240" w:lineRule="auto"/>
              <w:ind w:left="355"/>
              <w:rPr>
                <w:rFonts w:eastAsia="Times New Roman" w:cs="Arial"/>
                <w:sz w:val="16"/>
                <w:szCs w:val="16"/>
                <w:lang w:eastAsia="cs-CZ"/>
              </w:rPr>
            </w:pPr>
            <w:r w:rsidRPr="00990701">
              <w:rPr>
                <w:rFonts w:eastAsia="Times New Roman" w:cs="Arial"/>
                <w:sz w:val="16"/>
                <w:szCs w:val="16"/>
                <w:lang w:eastAsia="cs-CZ"/>
              </w:rPr>
              <w:t>Výzva IROP č. 57: „Infrastruktura pro zájmové, neformální a celoživotní vzdělávání“ – poskytuje investiční prostředky na budování infrastruktury zájmového, neformálního a celoživotního učení (výstavba a vybavení odborných učeben, dílen apod.) v návaznosti na rozvoj klíčových kompetencí, mimo jiné „práce s digitálními technologiemi“</w:t>
            </w:r>
          </w:p>
        </w:tc>
        <w:tc>
          <w:tcPr>
            <w:tcW w:w="127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jc w:val="center"/>
              <w:rPr>
                <w:rFonts w:eastAsia="Times New Roman" w:cs="Arial"/>
                <w:sz w:val="16"/>
                <w:szCs w:val="16"/>
                <w:lang w:eastAsia="cs-CZ"/>
              </w:rPr>
            </w:pPr>
            <w:r w:rsidRPr="00044A2B">
              <w:rPr>
                <w:rFonts w:eastAsia="Times New Roman" w:cs="Arial"/>
                <w:sz w:val="16"/>
                <w:szCs w:val="16"/>
                <w:lang w:eastAsia="cs-CZ"/>
              </w:rPr>
              <w:lastRenderedPageBreak/>
              <w:t>průběžně</w:t>
            </w:r>
          </w:p>
        </w:tc>
        <w:tc>
          <w:tcPr>
            <w:tcW w:w="2835" w:type="dxa"/>
            <w:tcBorders>
              <w:top w:val="nil"/>
              <w:left w:val="nil"/>
              <w:bottom w:val="single" w:sz="4" w:space="0" w:color="auto"/>
              <w:right w:val="single" w:sz="4" w:space="0" w:color="auto"/>
            </w:tcBorders>
            <w:shd w:val="clear" w:color="auto" w:fill="auto"/>
            <w:hideMark/>
          </w:tcPr>
          <w:p w:rsidR="006A1628" w:rsidRPr="00044A2B" w:rsidRDefault="006A1628"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bl>
    <w:p w:rsidR="00A707CB" w:rsidRDefault="00A707CB" w:rsidP="00B74F3F"/>
    <w:p w:rsidR="007C3CF7" w:rsidRDefault="007C3CF7" w:rsidP="004E5BB3">
      <w:pPr>
        <w:pStyle w:val="Nadpis2"/>
        <w:ind w:left="1080"/>
      </w:pPr>
      <w:bookmarkStart w:id="5" w:name="_Toc469572106"/>
      <w:r>
        <w:t>Zajistit podmínky pro rozvoj digitální gramotnosti a informatického myšlení učitelů.</w:t>
      </w:r>
      <w:bookmarkEnd w:id="5"/>
    </w:p>
    <w:p w:rsidR="00453336" w:rsidRDefault="00990701" w:rsidP="00F63969">
      <w:pPr>
        <w:pStyle w:val="Nadpis3"/>
      </w:pPr>
      <w:r>
        <w:t>Indikátory úspěchu</w:t>
      </w:r>
    </w:p>
    <w:tbl>
      <w:tblPr>
        <w:tblStyle w:val="Mkatabulky"/>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gridCol w:w="11544"/>
      </w:tblGrid>
      <w:tr w:rsidR="00F63969" w:rsidRPr="00990701" w:rsidTr="00F63969">
        <w:trPr>
          <w:trHeight w:val="509"/>
        </w:trPr>
        <w:tc>
          <w:tcPr>
            <w:tcW w:w="3619" w:type="dxa"/>
          </w:tcPr>
          <w:p w:rsidR="00F63969" w:rsidRDefault="00F63969" w:rsidP="00990701">
            <w:r>
              <w:t>3.</w:t>
            </w:r>
            <w:r w:rsidRPr="00990701">
              <w:t>1 Zařazení standardu digitálních kompetencí učitele do vzdělávání učitelů</w:t>
            </w:r>
          </w:p>
        </w:tc>
        <w:tc>
          <w:tcPr>
            <w:tcW w:w="11544" w:type="dxa"/>
          </w:tcPr>
          <w:p w:rsidR="00F63969" w:rsidRPr="00990701" w:rsidRDefault="00F63969" w:rsidP="00F63969">
            <w:r w:rsidRPr="00990701">
              <w:t>Na národní úrovni je stanoven standard digitálních kompetencí učitele, který popisuje kompetence, které učiteli využívajícímu digitální technologie umožňují zlepšovat jeho pedagogický výkon a mají pozitivní dopad na žáka a na jeho učení. Učitelé jsou v jeho dosahování podporováni a motivováni</w:t>
            </w:r>
            <w:r>
              <w:t>.</w:t>
            </w:r>
          </w:p>
        </w:tc>
      </w:tr>
      <w:tr w:rsidR="00990701" w:rsidRPr="00990701" w:rsidTr="00F63969">
        <w:trPr>
          <w:trHeight w:val="509"/>
        </w:trPr>
        <w:tc>
          <w:tcPr>
            <w:tcW w:w="3619" w:type="dxa"/>
            <w:vMerge w:val="restart"/>
            <w:hideMark/>
          </w:tcPr>
          <w:p w:rsidR="00990701" w:rsidRPr="00990701" w:rsidRDefault="00F63969" w:rsidP="00990701">
            <w:r>
              <w:t>3.2 Z</w:t>
            </w:r>
            <w:r w:rsidR="00990701" w:rsidRPr="00990701">
              <w:t>ařazení didaktiky rozvoje digitální gramotnosti a informatického myšlení žáků do vzdělávání učitelů</w:t>
            </w:r>
          </w:p>
        </w:tc>
        <w:tc>
          <w:tcPr>
            <w:tcW w:w="11544" w:type="dxa"/>
            <w:vMerge w:val="restart"/>
            <w:hideMark/>
          </w:tcPr>
          <w:p w:rsidR="00F63969" w:rsidRDefault="00990701" w:rsidP="00F63969">
            <w:r w:rsidRPr="00990701">
              <w:t>V pregraduální přípravě i dalším vzdělávání učitelů existuje dostatek kvalitních (on-line, digitálních) učebních zdrojů, metodických materiálů a vzdělávacích příležitostí pro učitele napříč všemi vzdělávacími oblastmi i v modernizované vzdělávací oblasti ICT.</w:t>
            </w:r>
          </w:p>
          <w:p w:rsidR="00990701" w:rsidRPr="00990701" w:rsidRDefault="00990701" w:rsidP="00F63969">
            <w:r w:rsidRPr="00990701">
              <w:t>Ve školách je dostatek kvalitních učitelů, kteří danou problematiku kvalifikovaně zajišťují.</w:t>
            </w:r>
          </w:p>
        </w:tc>
      </w:tr>
      <w:tr w:rsidR="00990701" w:rsidRPr="00990701" w:rsidTr="00F63969">
        <w:trPr>
          <w:trHeight w:val="675"/>
        </w:trPr>
        <w:tc>
          <w:tcPr>
            <w:tcW w:w="3619" w:type="dxa"/>
            <w:vMerge/>
            <w:hideMark/>
          </w:tcPr>
          <w:p w:rsidR="00990701" w:rsidRPr="00990701" w:rsidRDefault="00990701" w:rsidP="00990701"/>
        </w:tc>
        <w:tc>
          <w:tcPr>
            <w:tcW w:w="11544" w:type="dxa"/>
            <w:vMerge/>
            <w:hideMark/>
          </w:tcPr>
          <w:p w:rsidR="00990701" w:rsidRPr="00990701" w:rsidRDefault="00990701" w:rsidP="00990701"/>
        </w:tc>
      </w:tr>
      <w:tr w:rsidR="00990701" w:rsidRPr="00990701" w:rsidTr="00F63969">
        <w:trPr>
          <w:trHeight w:val="509"/>
        </w:trPr>
        <w:tc>
          <w:tcPr>
            <w:tcW w:w="3619" w:type="dxa"/>
            <w:vMerge/>
            <w:hideMark/>
          </w:tcPr>
          <w:p w:rsidR="00990701" w:rsidRPr="00990701" w:rsidRDefault="00990701" w:rsidP="00990701"/>
        </w:tc>
        <w:tc>
          <w:tcPr>
            <w:tcW w:w="11544" w:type="dxa"/>
            <w:vMerge/>
            <w:hideMark/>
          </w:tcPr>
          <w:p w:rsidR="00990701" w:rsidRPr="00990701" w:rsidRDefault="00990701" w:rsidP="00990701"/>
        </w:tc>
      </w:tr>
    </w:tbl>
    <w:p w:rsidR="00990701" w:rsidRDefault="00990701" w:rsidP="00A72DDE"/>
    <w:tbl>
      <w:tblPr>
        <w:tblW w:w="15309" w:type="dxa"/>
        <w:tblInd w:w="-5" w:type="dxa"/>
        <w:tblLayout w:type="fixed"/>
        <w:tblCellMar>
          <w:left w:w="70" w:type="dxa"/>
          <w:right w:w="70" w:type="dxa"/>
        </w:tblCellMar>
        <w:tblLook w:val="04A0" w:firstRow="1" w:lastRow="0" w:firstColumn="1" w:lastColumn="0" w:noHBand="0" w:noVBand="1"/>
      </w:tblPr>
      <w:tblGrid>
        <w:gridCol w:w="1226"/>
        <w:gridCol w:w="3027"/>
        <w:gridCol w:w="992"/>
        <w:gridCol w:w="5954"/>
        <w:gridCol w:w="1275"/>
        <w:gridCol w:w="2835"/>
      </w:tblGrid>
      <w:tr w:rsidR="004E5BB3" w:rsidRPr="000E6580" w:rsidTr="00B23ECD">
        <w:trPr>
          <w:trHeight w:val="810"/>
          <w:tblHeader/>
        </w:trPr>
        <w:tc>
          <w:tcPr>
            <w:tcW w:w="1226" w:type="dxa"/>
            <w:tcBorders>
              <w:top w:val="single" w:sz="4" w:space="0" w:color="auto"/>
              <w:left w:val="single" w:sz="4" w:space="0" w:color="auto"/>
              <w:bottom w:val="single" w:sz="4" w:space="0" w:color="auto"/>
              <w:right w:val="single" w:sz="4" w:space="0" w:color="auto"/>
            </w:tcBorders>
            <w:shd w:val="clear" w:color="auto" w:fill="FF0066"/>
            <w:hideMark/>
          </w:tcPr>
          <w:p w:rsidR="004E5BB3" w:rsidRPr="000E6580" w:rsidRDefault="004E5BB3"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Opatření</w:t>
            </w:r>
          </w:p>
        </w:tc>
        <w:tc>
          <w:tcPr>
            <w:tcW w:w="3027" w:type="dxa"/>
            <w:tcBorders>
              <w:top w:val="single" w:sz="4" w:space="0" w:color="auto"/>
              <w:left w:val="nil"/>
              <w:bottom w:val="single" w:sz="4" w:space="0" w:color="auto"/>
              <w:right w:val="single" w:sz="4" w:space="0" w:color="auto"/>
            </w:tcBorders>
            <w:shd w:val="clear" w:color="auto" w:fill="FF0066"/>
            <w:hideMark/>
          </w:tcPr>
          <w:p w:rsidR="004E5BB3" w:rsidRPr="000E6580" w:rsidRDefault="004E5BB3"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Aktivity</w:t>
            </w:r>
          </w:p>
        </w:tc>
        <w:tc>
          <w:tcPr>
            <w:tcW w:w="992" w:type="dxa"/>
            <w:tcBorders>
              <w:top w:val="single" w:sz="4" w:space="0" w:color="auto"/>
              <w:left w:val="nil"/>
              <w:bottom w:val="single" w:sz="4" w:space="0" w:color="auto"/>
              <w:right w:val="single" w:sz="4" w:space="0" w:color="auto"/>
            </w:tcBorders>
            <w:shd w:val="clear" w:color="auto" w:fill="FF0066"/>
            <w:hideMark/>
          </w:tcPr>
          <w:p w:rsidR="004E5BB3" w:rsidRPr="000E6580" w:rsidRDefault="004E5BB3"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Návrh realizace v SDV</w:t>
            </w:r>
          </w:p>
        </w:tc>
        <w:tc>
          <w:tcPr>
            <w:tcW w:w="5954" w:type="dxa"/>
            <w:tcBorders>
              <w:top w:val="single" w:sz="4" w:space="0" w:color="auto"/>
              <w:left w:val="nil"/>
              <w:bottom w:val="single" w:sz="4" w:space="0" w:color="auto"/>
              <w:right w:val="single" w:sz="4" w:space="0" w:color="auto"/>
            </w:tcBorders>
            <w:shd w:val="clear" w:color="auto" w:fill="FF0066"/>
            <w:hideMark/>
          </w:tcPr>
          <w:p w:rsidR="004E5BB3" w:rsidRPr="000E6580" w:rsidRDefault="000E6580"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Stav plnění, návrh na úpravy znění</w:t>
            </w:r>
          </w:p>
        </w:tc>
        <w:tc>
          <w:tcPr>
            <w:tcW w:w="1275" w:type="dxa"/>
            <w:tcBorders>
              <w:top w:val="single" w:sz="4" w:space="0" w:color="auto"/>
              <w:left w:val="nil"/>
              <w:bottom w:val="single" w:sz="4" w:space="0" w:color="auto"/>
              <w:right w:val="single" w:sz="4" w:space="0" w:color="auto"/>
            </w:tcBorders>
            <w:shd w:val="clear" w:color="auto" w:fill="FF0066"/>
            <w:hideMark/>
          </w:tcPr>
          <w:p w:rsidR="004E5BB3" w:rsidRPr="000E6580" w:rsidRDefault="004E5BB3"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Termín (SDV)</w:t>
            </w:r>
          </w:p>
        </w:tc>
        <w:tc>
          <w:tcPr>
            <w:tcW w:w="2835" w:type="dxa"/>
            <w:tcBorders>
              <w:top w:val="single" w:sz="4" w:space="0" w:color="auto"/>
              <w:left w:val="nil"/>
              <w:bottom w:val="single" w:sz="4" w:space="0" w:color="auto"/>
              <w:right w:val="single" w:sz="4" w:space="0" w:color="auto"/>
            </w:tcBorders>
            <w:shd w:val="clear" w:color="auto" w:fill="FF0066"/>
            <w:hideMark/>
          </w:tcPr>
          <w:p w:rsidR="004E5BB3" w:rsidRPr="000E6580" w:rsidRDefault="004E5BB3"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Změna termínu + důvod</w:t>
            </w:r>
          </w:p>
        </w:tc>
      </w:tr>
      <w:tr w:rsidR="004E5BB3" w:rsidRPr="00044A2B" w:rsidTr="00DC707B">
        <w:trPr>
          <w:trHeight w:val="675"/>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3.1 Zařazení standardu digitálních kompetencí učitele do vzdělávání učitelů</w:t>
            </w:r>
          </w:p>
        </w:tc>
        <w:tc>
          <w:tcPr>
            <w:tcW w:w="3027"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3.1.1 Příprava standardu digitálních kompetencí učitele (viz opatření 6.2 Profil Učitel21).</w:t>
            </w:r>
          </w:p>
        </w:tc>
        <w:tc>
          <w:tcPr>
            <w:tcW w:w="992"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NIDV, NÚV</w:t>
            </w:r>
          </w:p>
        </w:tc>
        <w:tc>
          <w:tcPr>
            <w:tcW w:w="5954" w:type="dxa"/>
            <w:tcBorders>
              <w:top w:val="nil"/>
              <w:left w:val="nil"/>
              <w:bottom w:val="single" w:sz="4" w:space="0" w:color="auto"/>
              <w:right w:val="single" w:sz="4" w:space="0" w:color="auto"/>
            </w:tcBorders>
            <w:shd w:val="clear" w:color="auto" w:fill="auto"/>
            <w:hideMark/>
          </w:tcPr>
          <w:p w:rsidR="004E5BB3" w:rsidRPr="00DC707B" w:rsidRDefault="00B300C9" w:rsidP="000647DF">
            <w:pPr>
              <w:spacing w:after="0" w:line="240" w:lineRule="auto"/>
              <w:rPr>
                <w:rFonts w:eastAsia="Times New Roman" w:cs="Arial"/>
                <w:b/>
                <w:sz w:val="16"/>
                <w:szCs w:val="16"/>
                <w:lang w:eastAsia="cs-CZ"/>
              </w:rPr>
            </w:pPr>
            <w:r>
              <w:rPr>
                <w:rFonts w:eastAsia="Times New Roman" w:cs="Arial"/>
                <w:b/>
                <w:sz w:val="16"/>
                <w:szCs w:val="16"/>
                <w:lang w:eastAsia="cs-CZ"/>
              </w:rPr>
              <w:t>P</w:t>
            </w:r>
            <w:r w:rsidR="004E5BB3" w:rsidRPr="00DC707B">
              <w:rPr>
                <w:rFonts w:eastAsia="Times New Roman" w:cs="Arial"/>
                <w:b/>
                <w:sz w:val="16"/>
                <w:szCs w:val="16"/>
                <w:lang w:eastAsia="cs-CZ"/>
              </w:rPr>
              <w:t>okrok</w:t>
            </w:r>
          </w:p>
          <w:p w:rsidR="004E5BB3" w:rsidRPr="00044A2B" w:rsidRDefault="004E5BB3" w:rsidP="00B300C9">
            <w:pPr>
              <w:spacing w:after="0" w:line="240" w:lineRule="auto"/>
              <w:rPr>
                <w:rFonts w:eastAsia="Times New Roman" w:cs="Arial"/>
                <w:sz w:val="16"/>
                <w:szCs w:val="16"/>
                <w:lang w:eastAsia="cs-CZ"/>
              </w:rPr>
            </w:pPr>
            <w:r w:rsidRPr="00966983">
              <w:rPr>
                <w:rFonts w:eastAsia="Times New Roman" w:cs="Arial"/>
                <w:sz w:val="16"/>
                <w:szCs w:val="16"/>
                <w:lang w:eastAsia="cs-CZ"/>
              </w:rPr>
              <w:t xml:space="preserve">Standard digitálních kompetencí učitele </w:t>
            </w:r>
            <w:r w:rsidR="00B300C9">
              <w:rPr>
                <w:rFonts w:eastAsia="Times New Roman" w:cs="Arial"/>
                <w:sz w:val="16"/>
                <w:szCs w:val="16"/>
                <w:lang w:eastAsia="cs-CZ"/>
              </w:rPr>
              <w:t>se připravuje v</w:t>
            </w:r>
            <w:r w:rsidRPr="00966983">
              <w:rPr>
                <w:rFonts w:eastAsia="Times New Roman" w:cs="Arial"/>
                <w:sz w:val="16"/>
                <w:szCs w:val="16"/>
                <w:lang w:eastAsia="cs-CZ"/>
              </w:rPr>
              <w:t xml:space="preserve"> </w:t>
            </w:r>
            <w:proofErr w:type="spellStart"/>
            <w:r w:rsidRPr="00966983">
              <w:rPr>
                <w:rFonts w:eastAsia="Times New Roman" w:cs="Arial"/>
                <w:sz w:val="16"/>
                <w:szCs w:val="16"/>
                <w:lang w:eastAsia="cs-CZ"/>
              </w:rPr>
              <w:t>IPs</w:t>
            </w:r>
            <w:proofErr w:type="spellEnd"/>
            <w:r w:rsidRPr="00966983">
              <w:rPr>
                <w:rFonts w:eastAsia="Times New Roman" w:cs="Arial"/>
                <w:sz w:val="16"/>
                <w:szCs w:val="16"/>
                <w:lang w:eastAsia="cs-CZ"/>
              </w:rPr>
              <w:t xml:space="preserve"> projektu OP VVV „Podpora práce </w:t>
            </w:r>
            <w:r w:rsidR="009C1AC6">
              <w:rPr>
                <w:rFonts w:eastAsia="Times New Roman" w:cs="Arial"/>
                <w:sz w:val="16"/>
                <w:szCs w:val="16"/>
                <w:lang w:eastAsia="cs-CZ"/>
              </w:rPr>
              <w:t>učitelů</w:t>
            </w:r>
            <w:r w:rsidR="00B300C9">
              <w:rPr>
                <w:rFonts w:eastAsia="Times New Roman" w:cs="Arial"/>
                <w:sz w:val="16"/>
                <w:szCs w:val="16"/>
                <w:lang w:eastAsia="cs-CZ"/>
              </w:rPr>
              <w:t>“</w:t>
            </w:r>
            <w:r w:rsidRPr="00966983">
              <w:rPr>
                <w:rFonts w:eastAsia="Times New Roman" w:cs="Arial"/>
                <w:sz w:val="16"/>
                <w:szCs w:val="16"/>
                <w:lang w:eastAsia="cs-CZ"/>
              </w:rPr>
              <w:t>.</w:t>
            </w:r>
            <w:r w:rsidR="00B300C9">
              <w:rPr>
                <w:rFonts w:eastAsia="Times New Roman" w:cs="Arial"/>
                <w:sz w:val="16"/>
                <w:szCs w:val="16"/>
                <w:lang w:eastAsia="cs-CZ"/>
              </w:rPr>
              <w:t xml:space="preserve"> Byla zpracována analýza modelů digitálních kompetencí učitelů, v 2. pololetí 2017 pracovní skupina na základě doporučení ze studie zpracuje standard.</w:t>
            </w:r>
          </w:p>
        </w:tc>
        <w:tc>
          <w:tcPr>
            <w:tcW w:w="1275" w:type="dxa"/>
            <w:tcBorders>
              <w:top w:val="nil"/>
              <w:left w:val="nil"/>
              <w:bottom w:val="single" w:sz="4" w:space="0" w:color="auto"/>
              <w:right w:val="single" w:sz="4" w:space="0" w:color="auto"/>
            </w:tcBorders>
            <w:shd w:val="clear" w:color="auto" w:fill="auto"/>
            <w:hideMark/>
          </w:tcPr>
          <w:p w:rsidR="004E5BB3" w:rsidRPr="00044A2B" w:rsidRDefault="00F63969"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31.12.2017</w:t>
            </w:r>
            <w:proofErr w:type="gramEnd"/>
          </w:p>
        </w:tc>
        <w:tc>
          <w:tcPr>
            <w:tcW w:w="283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p>
        </w:tc>
      </w:tr>
      <w:tr w:rsidR="004E5BB3" w:rsidRPr="00044A2B" w:rsidTr="00790F57">
        <w:trPr>
          <w:trHeight w:val="488"/>
        </w:trPr>
        <w:tc>
          <w:tcPr>
            <w:tcW w:w="1226" w:type="dxa"/>
            <w:vMerge/>
            <w:tcBorders>
              <w:top w:val="nil"/>
              <w:left w:val="single" w:sz="4" w:space="0" w:color="auto"/>
              <w:bottom w:val="single" w:sz="4" w:space="0" w:color="auto"/>
              <w:right w:val="single" w:sz="4" w:space="0" w:color="auto"/>
            </w:tcBorders>
            <w:vAlign w:val="center"/>
            <w:hideMark/>
          </w:tcPr>
          <w:p w:rsidR="004E5BB3" w:rsidRPr="00044A2B" w:rsidRDefault="004E5BB3"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xml:space="preserve">3.1.2 Postupná integrace standardu digitálních kompetencí učitele do pregraduální přípravy učitelů, jeho začlenění </w:t>
            </w:r>
            <w:r w:rsidRPr="00044A2B">
              <w:rPr>
                <w:rFonts w:eastAsia="Times New Roman" w:cs="Arial"/>
                <w:sz w:val="16"/>
                <w:szCs w:val="16"/>
                <w:lang w:eastAsia="cs-CZ"/>
              </w:rPr>
              <w:lastRenderedPageBreak/>
              <w:t>do profilu absolventa a do vzdělávacích programů předkládaných k akreditaci Akreditační komisi fakultami vzdělávajícími učitele.</w:t>
            </w:r>
          </w:p>
        </w:tc>
        <w:tc>
          <w:tcPr>
            <w:tcW w:w="992"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lastRenderedPageBreak/>
              <w:t xml:space="preserve">MŠMT, fakulty </w:t>
            </w:r>
            <w:r w:rsidRPr="00044A2B">
              <w:rPr>
                <w:rFonts w:eastAsia="Times New Roman" w:cs="Arial"/>
                <w:sz w:val="16"/>
                <w:szCs w:val="16"/>
                <w:lang w:eastAsia="cs-CZ"/>
              </w:rPr>
              <w:lastRenderedPageBreak/>
              <w:t>vzdělávající učitele</w:t>
            </w:r>
          </w:p>
        </w:tc>
        <w:tc>
          <w:tcPr>
            <w:tcW w:w="5954" w:type="dxa"/>
            <w:tcBorders>
              <w:top w:val="nil"/>
              <w:left w:val="nil"/>
              <w:bottom w:val="single" w:sz="4" w:space="0" w:color="auto"/>
              <w:right w:val="single" w:sz="4" w:space="0" w:color="auto"/>
            </w:tcBorders>
            <w:shd w:val="clear" w:color="auto" w:fill="auto"/>
            <w:hideMark/>
          </w:tcPr>
          <w:p w:rsidR="004E5BB3" w:rsidRPr="00DC707B" w:rsidRDefault="004E5BB3" w:rsidP="0045041A">
            <w:pPr>
              <w:spacing w:after="0" w:line="240" w:lineRule="auto"/>
              <w:rPr>
                <w:rFonts w:eastAsia="Times New Roman" w:cs="Arial"/>
                <w:b/>
                <w:sz w:val="16"/>
                <w:szCs w:val="16"/>
                <w:lang w:eastAsia="cs-CZ"/>
              </w:rPr>
            </w:pPr>
            <w:r w:rsidRPr="00DC707B">
              <w:rPr>
                <w:rFonts w:eastAsia="Times New Roman" w:cs="Arial"/>
                <w:b/>
                <w:sz w:val="16"/>
                <w:szCs w:val="16"/>
                <w:lang w:eastAsia="cs-CZ"/>
              </w:rPr>
              <w:lastRenderedPageBreak/>
              <w:t>Omezený pokrok</w:t>
            </w:r>
          </w:p>
          <w:p w:rsidR="004E5BB3" w:rsidRDefault="00664FD1" w:rsidP="00664FD1">
            <w:pPr>
              <w:spacing w:after="0" w:line="240" w:lineRule="auto"/>
              <w:rPr>
                <w:rFonts w:eastAsia="Times New Roman" w:cs="Arial"/>
                <w:sz w:val="16"/>
                <w:szCs w:val="16"/>
                <w:lang w:eastAsia="cs-CZ"/>
              </w:rPr>
            </w:pPr>
            <w:r w:rsidRPr="00664FD1">
              <w:rPr>
                <w:rFonts w:eastAsia="Times New Roman" w:cs="Arial"/>
                <w:sz w:val="16"/>
                <w:szCs w:val="16"/>
                <w:lang w:eastAsia="cs-CZ"/>
              </w:rPr>
              <w:lastRenderedPageBreak/>
              <w:t>V rámci spolupráce p</w:t>
            </w:r>
            <w:r>
              <w:rPr>
                <w:rFonts w:eastAsia="Times New Roman" w:cs="Arial"/>
                <w:sz w:val="16"/>
                <w:szCs w:val="16"/>
                <w:lang w:eastAsia="cs-CZ"/>
              </w:rPr>
              <w:t>rojektů „PPUČ“ a „ISDV1“ vznikl</w:t>
            </w:r>
            <w:r w:rsidRPr="00664FD1">
              <w:rPr>
                <w:rFonts w:eastAsia="Times New Roman" w:cs="Arial"/>
                <w:sz w:val="16"/>
                <w:szCs w:val="16"/>
                <w:lang w:eastAsia="cs-CZ"/>
              </w:rPr>
              <w:t xml:space="preserve"> odborný panel</w:t>
            </w:r>
            <w:r>
              <w:rPr>
                <w:rFonts w:eastAsia="Times New Roman" w:cs="Arial"/>
                <w:sz w:val="16"/>
                <w:szCs w:val="16"/>
                <w:lang w:eastAsia="cs-CZ"/>
              </w:rPr>
              <w:t xml:space="preserve">, který se bude podílet na tvorbě doporučení pro fakulty </w:t>
            </w:r>
            <w:r w:rsidRPr="00664FD1">
              <w:rPr>
                <w:rFonts w:eastAsia="Times New Roman" w:cs="Arial"/>
                <w:sz w:val="16"/>
                <w:szCs w:val="16"/>
                <w:lang w:eastAsia="cs-CZ"/>
              </w:rPr>
              <w:t>připravující učitele k začlenění rozvoje digitálních kompetencí a školské informatiky do pregraduálního vzdělávání učitelů</w:t>
            </w:r>
            <w:r>
              <w:rPr>
                <w:rFonts w:eastAsia="Times New Roman" w:cs="Arial"/>
                <w:sz w:val="16"/>
                <w:szCs w:val="16"/>
                <w:lang w:eastAsia="cs-CZ"/>
              </w:rPr>
              <w:t>.</w:t>
            </w:r>
          </w:p>
          <w:p w:rsidR="00664FD1" w:rsidRPr="00044A2B" w:rsidRDefault="00664FD1" w:rsidP="00664FD1">
            <w:pPr>
              <w:spacing w:after="0" w:line="240" w:lineRule="auto"/>
              <w:rPr>
                <w:rFonts w:eastAsia="Times New Roman" w:cs="Arial"/>
                <w:sz w:val="16"/>
                <w:szCs w:val="16"/>
                <w:lang w:eastAsia="cs-CZ"/>
              </w:rPr>
            </w:pPr>
            <w:r w:rsidRPr="00664FD1">
              <w:rPr>
                <w:rFonts w:eastAsia="Times New Roman" w:cs="Arial"/>
                <w:sz w:val="16"/>
                <w:szCs w:val="16"/>
                <w:lang w:eastAsia="cs-CZ"/>
              </w:rPr>
              <w:t>Realizátoři projektu Op VVV „Pregraduální vzdělávání I“ budou seznámeni s doporučením pro fakulty připravující učitele k začlenění rozvoje digitálních kompetencí učitelů do pregraduálního vzdělávání učitelů (zahájení realizace projektu říjen 2017)</w:t>
            </w:r>
          </w:p>
        </w:tc>
        <w:tc>
          <w:tcPr>
            <w:tcW w:w="127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lastRenderedPageBreak/>
              <w:t>31.12.2017</w:t>
            </w:r>
            <w:proofErr w:type="gramEnd"/>
            <w:r w:rsidR="00F63969">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735C65" w:rsidRPr="00044A2B" w:rsidRDefault="00735C65" w:rsidP="0045041A">
            <w:pPr>
              <w:spacing w:after="0" w:line="240" w:lineRule="auto"/>
              <w:rPr>
                <w:rFonts w:eastAsia="Times New Roman" w:cs="Arial"/>
                <w:sz w:val="16"/>
                <w:szCs w:val="16"/>
                <w:lang w:eastAsia="cs-CZ"/>
              </w:rPr>
            </w:pPr>
          </w:p>
        </w:tc>
      </w:tr>
      <w:tr w:rsidR="004E5BB3" w:rsidRPr="00044A2B" w:rsidTr="00DC707B">
        <w:trPr>
          <w:trHeight w:val="700"/>
        </w:trPr>
        <w:tc>
          <w:tcPr>
            <w:tcW w:w="1226" w:type="dxa"/>
            <w:vMerge/>
            <w:tcBorders>
              <w:top w:val="nil"/>
              <w:left w:val="single" w:sz="4" w:space="0" w:color="auto"/>
              <w:bottom w:val="single" w:sz="4" w:space="0" w:color="auto"/>
              <w:right w:val="single" w:sz="4" w:space="0" w:color="auto"/>
            </w:tcBorders>
            <w:vAlign w:val="center"/>
            <w:hideMark/>
          </w:tcPr>
          <w:p w:rsidR="004E5BB3" w:rsidRPr="00044A2B" w:rsidRDefault="004E5BB3"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3.1.3 Integrace standardu digitálních kompetencí učitele do kariérního systému.</w:t>
            </w:r>
          </w:p>
        </w:tc>
        <w:tc>
          <w:tcPr>
            <w:tcW w:w="992"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NIDV</w:t>
            </w:r>
          </w:p>
        </w:tc>
        <w:tc>
          <w:tcPr>
            <w:tcW w:w="5954" w:type="dxa"/>
            <w:tcBorders>
              <w:top w:val="nil"/>
              <w:left w:val="nil"/>
              <w:bottom w:val="single" w:sz="4" w:space="0" w:color="auto"/>
              <w:right w:val="single" w:sz="4" w:space="0" w:color="auto"/>
            </w:tcBorders>
            <w:shd w:val="clear" w:color="auto" w:fill="auto"/>
            <w:hideMark/>
          </w:tcPr>
          <w:p w:rsidR="004E5BB3" w:rsidRPr="00DC707B" w:rsidRDefault="004E5BB3" w:rsidP="0051133A">
            <w:pPr>
              <w:spacing w:after="0" w:line="240" w:lineRule="auto"/>
              <w:rPr>
                <w:rFonts w:eastAsia="Times New Roman" w:cs="Arial"/>
                <w:b/>
                <w:sz w:val="16"/>
                <w:szCs w:val="16"/>
                <w:lang w:eastAsia="cs-CZ"/>
              </w:rPr>
            </w:pPr>
            <w:r w:rsidRPr="00DC707B">
              <w:rPr>
                <w:rFonts w:eastAsia="Times New Roman" w:cs="Arial"/>
                <w:b/>
                <w:sz w:val="16"/>
                <w:szCs w:val="16"/>
                <w:lang w:eastAsia="cs-CZ"/>
              </w:rPr>
              <w:t>Omezený pokrok</w:t>
            </w:r>
          </w:p>
          <w:p w:rsidR="004E5BB3" w:rsidRPr="00044A2B" w:rsidRDefault="00664FD1" w:rsidP="0051133A">
            <w:pPr>
              <w:spacing w:after="0" w:line="240" w:lineRule="auto"/>
              <w:rPr>
                <w:rFonts w:eastAsia="Times New Roman" w:cs="Arial"/>
                <w:sz w:val="16"/>
                <w:szCs w:val="16"/>
                <w:lang w:eastAsia="cs-CZ"/>
              </w:rPr>
            </w:pPr>
            <w:r w:rsidRPr="00664FD1">
              <w:rPr>
                <w:rFonts w:eastAsia="Times New Roman" w:cs="Arial"/>
                <w:sz w:val="16"/>
                <w:szCs w:val="16"/>
                <w:lang w:eastAsia="cs-CZ"/>
              </w:rPr>
              <w:t>Návrh prováděcí vyhlášky k zákonu 563/20</w:t>
            </w:r>
            <w:r>
              <w:rPr>
                <w:rFonts w:eastAsia="Times New Roman" w:cs="Arial"/>
                <w:sz w:val="16"/>
                <w:szCs w:val="16"/>
                <w:lang w:eastAsia="cs-CZ"/>
              </w:rPr>
              <w:t>04 Sb. Standard učitele zahrnuje</w:t>
            </w:r>
            <w:r w:rsidRPr="00664FD1">
              <w:rPr>
                <w:rFonts w:eastAsia="Times New Roman" w:cs="Arial"/>
                <w:sz w:val="16"/>
                <w:szCs w:val="16"/>
                <w:lang w:eastAsia="cs-CZ"/>
              </w:rPr>
              <w:t xml:space="preserve"> i oblast digitálních kompetencí učitele</w:t>
            </w:r>
          </w:p>
        </w:tc>
        <w:tc>
          <w:tcPr>
            <w:tcW w:w="127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31.12.2017</w:t>
            </w:r>
            <w:proofErr w:type="gramEnd"/>
          </w:p>
        </w:tc>
        <w:tc>
          <w:tcPr>
            <w:tcW w:w="283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r w:rsidR="004E5BB3" w:rsidRPr="00044A2B" w:rsidTr="00DC707B">
        <w:trPr>
          <w:trHeight w:val="1492"/>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3.2 Zařazení didaktiky rozvoje digitální gramotnosti a informatického myšlení žáků do vzdělávání učitelů</w:t>
            </w:r>
          </w:p>
        </w:tc>
        <w:tc>
          <w:tcPr>
            <w:tcW w:w="3027"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3.2.1 Tvorba komplexních učebních zdrojů, metodických doporučení a on-line materiálů vhodných pro vzdělávání učitelů v didaktice rozvoje digitální gramotnosti a informatického myšlení žáků (napříč všemi vzdělávacími oblastmi i v modernizované vzdělávací oblasti ICT).</w:t>
            </w:r>
          </w:p>
        </w:tc>
        <w:tc>
          <w:tcPr>
            <w:tcW w:w="992"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NIDV, NÚV, další</w:t>
            </w:r>
          </w:p>
        </w:tc>
        <w:tc>
          <w:tcPr>
            <w:tcW w:w="5954" w:type="dxa"/>
            <w:tcBorders>
              <w:top w:val="nil"/>
              <w:left w:val="nil"/>
              <w:bottom w:val="single" w:sz="4" w:space="0" w:color="auto"/>
              <w:right w:val="single" w:sz="4" w:space="0" w:color="auto"/>
            </w:tcBorders>
            <w:shd w:val="clear" w:color="auto" w:fill="auto"/>
            <w:hideMark/>
          </w:tcPr>
          <w:p w:rsidR="004E5BB3" w:rsidRPr="00DC707B" w:rsidRDefault="004E5BB3" w:rsidP="0045041A">
            <w:pPr>
              <w:spacing w:after="0" w:line="240" w:lineRule="auto"/>
              <w:rPr>
                <w:rFonts w:eastAsia="Times New Roman" w:cs="Arial"/>
                <w:b/>
                <w:sz w:val="16"/>
                <w:szCs w:val="16"/>
                <w:lang w:eastAsia="cs-CZ"/>
              </w:rPr>
            </w:pPr>
            <w:r w:rsidRPr="00DC707B">
              <w:rPr>
                <w:rFonts w:eastAsia="Times New Roman" w:cs="Arial"/>
                <w:b/>
                <w:sz w:val="16"/>
                <w:szCs w:val="16"/>
                <w:lang w:eastAsia="cs-CZ"/>
              </w:rPr>
              <w:t>Pokrok</w:t>
            </w:r>
          </w:p>
          <w:p w:rsidR="004E5BB3" w:rsidRPr="00044A2B" w:rsidRDefault="004E5BB3" w:rsidP="00C76AE2">
            <w:pPr>
              <w:spacing w:after="0" w:line="240" w:lineRule="auto"/>
              <w:jc w:val="left"/>
              <w:rPr>
                <w:rFonts w:eastAsia="Times New Roman" w:cs="Arial"/>
                <w:sz w:val="16"/>
                <w:szCs w:val="16"/>
                <w:lang w:eastAsia="cs-CZ"/>
              </w:rPr>
            </w:pPr>
            <w:r>
              <w:rPr>
                <w:rFonts w:ascii="Calibri" w:eastAsia="Times New Roman" w:hAnsi="Calibri" w:cs="Times New Roman"/>
                <w:color w:val="000000"/>
                <w:sz w:val="16"/>
                <w:szCs w:val="16"/>
                <w:lang w:eastAsia="cs-CZ"/>
              </w:rPr>
              <w:t xml:space="preserve">Úkol řeší především </w:t>
            </w:r>
            <w:r w:rsidR="00C76AE2">
              <w:rPr>
                <w:rFonts w:ascii="Calibri" w:eastAsia="Times New Roman" w:hAnsi="Calibri" w:cs="Times New Roman"/>
                <w:color w:val="000000"/>
                <w:sz w:val="16"/>
                <w:szCs w:val="16"/>
                <w:lang w:eastAsia="cs-CZ"/>
              </w:rPr>
              <w:t xml:space="preserve">projekty </w:t>
            </w:r>
            <w:r>
              <w:rPr>
                <w:rFonts w:ascii="Calibri" w:eastAsia="Times New Roman" w:hAnsi="Calibri" w:cs="Times New Roman"/>
                <w:color w:val="000000"/>
                <w:sz w:val="16"/>
                <w:szCs w:val="16"/>
                <w:lang w:eastAsia="cs-CZ"/>
              </w:rPr>
              <w:t>výzv</w:t>
            </w:r>
            <w:r w:rsidR="00C76AE2">
              <w:rPr>
                <w:rFonts w:ascii="Calibri" w:eastAsia="Times New Roman" w:hAnsi="Calibri" w:cs="Times New Roman"/>
                <w:color w:val="000000"/>
                <w:sz w:val="16"/>
                <w:szCs w:val="16"/>
                <w:lang w:eastAsia="cs-CZ"/>
              </w:rPr>
              <w:t>y</w:t>
            </w:r>
            <w:r>
              <w:rPr>
                <w:rFonts w:ascii="Calibri" w:eastAsia="Times New Roman" w:hAnsi="Calibri" w:cs="Times New Roman"/>
                <w:color w:val="000000"/>
                <w:sz w:val="16"/>
                <w:szCs w:val="16"/>
                <w:lang w:eastAsia="cs-CZ"/>
              </w:rPr>
              <w:t xml:space="preserve"> OP VVV „</w:t>
            </w:r>
            <w:r w:rsidRPr="00A06004">
              <w:rPr>
                <w:rFonts w:ascii="Calibri" w:eastAsia="Times New Roman" w:hAnsi="Calibri" w:cs="Times New Roman"/>
                <w:i/>
                <w:color w:val="000000"/>
                <w:sz w:val="16"/>
                <w:szCs w:val="16"/>
                <w:lang w:eastAsia="cs-CZ"/>
              </w:rPr>
              <w:t>Implementace SDV I</w:t>
            </w:r>
            <w:r w:rsidR="00C76AE2">
              <w:rPr>
                <w:rFonts w:ascii="Calibri" w:eastAsia="Times New Roman" w:hAnsi="Calibri" w:cs="Times New Roman"/>
                <w:color w:val="000000"/>
                <w:sz w:val="16"/>
                <w:szCs w:val="16"/>
                <w:lang w:eastAsia="cs-CZ"/>
              </w:rPr>
              <w:t>“</w:t>
            </w:r>
            <w:r>
              <w:rPr>
                <w:rFonts w:ascii="Calibri" w:eastAsia="Times New Roman" w:hAnsi="Calibri" w:cs="Times New Roman"/>
                <w:color w:val="000000"/>
                <w:sz w:val="16"/>
                <w:szCs w:val="16"/>
                <w:lang w:eastAsia="cs-CZ"/>
              </w:rPr>
              <w:t xml:space="preserve"> a IPS </w:t>
            </w:r>
            <w:r w:rsidRPr="00555FA0">
              <w:rPr>
                <w:rFonts w:ascii="Calibri" w:eastAsia="Times New Roman" w:hAnsi="Calibri" w:cs="Times New Roman"/>
                <w:i/>
                <w:iCs/>
                <w:color w:val="000000"/>
                <w:sz w:val="16"/>
                <w:szCs w:val="16"/>
                <w:lang w:eastAsia="cs-CZ"/>
              </w:rPr>
              <w:t>„</w:t>
            </w:r>
            <w:r>
              <w:rPr>
                <w:rFonts w:ascii="Calibri" w:eastAsia="Times New Roman" w:hAnsi="Calibri" w:cs="Times New Roman"/>
                <w:i/>
                <w:iCs/>
                <w:color w:val="000000"/>
                <w:sz w:val="16"/>
                <w:szCs w:val="16"/>
                <w:lang w:eastAsia="cs-CZ"/>
              </w:rPr>
              <w:t>Podpora práce</w:t>
            </w:r>
            <w:r w:rsidRPr="00555FA0">
              <w:rPr>
                <w:rFonts w:ascii="Calibri" w:eastAsia="Times New Roman" w:hAnsi="Calibri" w:cs="Times New Roman"/>
                <w:i/>
                <w:iCs/>
                <w:color w:val="000000"/>
                <w:sz w:val="16"/>
                <w:szCs w:val="16"/>
                <w:lang w:eastAsia="cs-CZ"/>
              </w:rPr>
              <w:t xml:space="preserve"> </w:t>
            </w:r>
            <w:r w:rsidR="009C1AC6">
              <w:rPr>
                <w:rFonts w:ascii="Calibri" w:eastAsia="Times New Roman" w:hAnsi="Calibri" w:cs="Times New Roman"/>
                <w:i/>
                <w:iCs/>
                <w:color w:val="000000"/>
                <w:sz w:val="16"/>
                <w:szCs w:val="16"/>
                <w:lang w:eastAsia="cs-CZ"/>
              </w:rPr>
              <w:t>učitelů</w:t>
            </w:r>
            <w:r w:rsidRPr="00555FA0">
              <w:rPr>
                <w:rFonts w:ascii="Calibri" w:eastAsia="Times New Roman" w:hAnsi="Calibri" w:cs="Times New Roman"/>
                <w:i/>
                <w:iCs/>
                <w:color w:val="000000"/>
                <w:sz w:val="16"/>
                <w:szCs w:val="16"/>
                <w:lang w:eastAsia="cs-CZ"/>
              </w:rPr>
              <w:t>“</w:t>
            </w:r>
            <w:r>
              <w:rPr>
                <w:rFonts w:ascii="Calibri" w:eastAsia="Times New Roman" w:hAnsi="Calibri" w:cs="Times New Roman"/>
                <w:iCs/>
                <w:color w:val="000000"/>
                <w:sz w:val="16"/>
                <w:szCs w:val="16"/>
                <w:lang w:eastAsia="cs-CZ"/>
              </w:rPr>
              <w:t xml:space="preserve"> (</w:t>
            </w:r>
            <w:r>
              <w:rPr>
                <w:rFonts w:ascii="Calibri" w:eastAsia="Times New Roman" w:hAnsi="Calibri" w:cs="Times New Roman"/>
                <w:color w:val="000000"/>
                <w:sz w:val="16"/>
                <w:szCs w:val="16"/>
                <w:lang w:eastAsia="cs-CZ"/>
              </w:rPr>
              <w:t xml:space="preserve">projekt realizuje NUV od </w:t>
            </w:r>
            <w:proofErr w:type="gramStart"/>
            <w:r>
              <w:rPr>
                <w:rFonts w:ascii="Calibri" w:eastAsia="Times New Roman" w:hAnsi="Calibri" w:cs="Times New Roman"/>
                <w:color w:val="000000"/>
                <w:sz w:val="16"/>
                <w:szCs w:val="16"/>
                <w:lang w:eastAsia="cs-CZ"/>
              </w:rPr>
              <w:t>1.12.2016</w:t>
            </w:r>
            <w:proofErr w:type="gramEnd"/>
            <w:r>
              <w:rPr>
                <w:rFonts w:ascii="Calibri" w:eastAsia="Times New Roman" w:hAnsi="Calibri" w:cs="Times New Roman"/>
                <w:color w:val="000000"/>
                <w:sz w:val="16"/>
                <w:szCs w:val="16"/>
                <w:lang w:eastAsia="cs-CZ"/>
              </w:rPr>
              <w:t xml:space="preserve">, </w:t>
            </w:r>
            <w:r w:rsidR="00950C29">
              <w:rPr>
                <w:rFonts w:ascii="Calibri" w:eastAsia="Times New Roman" w:hAnsi="Calibri" w:cs="Times New Roman"/>
                <w:iCs/>
                <w:color w:val="000000"/>
                <w:sz w:val="16"/>
                <w:szCs w:val="16"/>
                <w:lang w:eastAsia="cs-CZ"/>
              </w:rPr>
              <w:t>zde povinná aktivita</w:t>
            </w:r>
            <w:r>
              <w:rPr>
                <w:rFonts w:ascii="Calibri" w:eastAsia="Times New Roman" w:hAnsi="Calibri" w:cs="Times New Roman"/>
                <w:iCs/>
                <w:color w:val="000000"/>
                <w:sz w:val="16"/>
                <w:szCs w:val="16"/>
                <w:lang w:eastAsia="cs-CZ"/>
              </w:rPr>
              <w:t xml:space="preserve"> vytvořit modul pro vzdělávání učitelů s tematikou digitální gramotnosti napříč všemi vzdělávacími oblastmi RVP MŠ a ZŠ).</w:t>
            </w:r>
          </w:p>
        </w:tc>
        <w:tc>
          <w:tcPr>
            <w:tcW w:w="127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31.12.2019</w:t>
            </w:r>
            <w:proofErr w:type="gramEnd"/>
          </w:p>
        </w:tc>
        <w:tc>
          <w:tcPr>
            <w:tcW w:w="283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r w:rsidR="004E5BB3" w:rsidRPr="00044A2B" w:rsidTr="00DC707B">
        <w:trPr>
          <w:trHeight w:val="1350"/>
        </w:trPr>
        <w:tc>
          <w:tcPr>
            <w:tcW w:w="1226" w:type="dxa"/>
            <w:vMerge/>
            <w:tcBorders>
              <w:top w:val="nil"/>
              <w:left w:val="single" w:sz="4" w:space="0" w:color="auto"/>
              <w:bottom w:val="single" w:sz="4" w:space="0" w:color="auto"/>
              <w:right w:val="single" w:sz="4" w:space="0" w:color="auto"/>
            </w:tcBorders>
            <w:vAlign w:val="center"/>
            <w:hideMark/>
          </w:tcPr>
          <w:p w:rsidR="004E5BB3" w:rsidRPr="00044A2B" w:rsidRDefault="004E5BB3"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3.2.2 Rozšíření vzdělávacích programů fakult vzdělávajících učitele o problematiku modernizovaných vzdělávacích oblastí včetně vzdělávací oblasti ICT, rozvíjející digitální gramotnost a informatické myšlení žáků.</w:t>
            </w:r>
          </w:p>
        </w:tc>
        <w:tc>
          <w:tcPr>
            <w:tcW w:w="992"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fakulty vzdělávající učitele</w:t>
            </w:r>
          </w:p>
        </w:tc>
        <w:tc>
          <w:tcPr>
            <w:tcW w:w="5954" w:type="dxa"/>
            <w:tcBorders>
              <w:top w:val="nil"/>
              <w:left w:val="nil"/>
              <w:bottom w:val="single" w:sz="4" w:space="0" w:color="auto"/>
              <w:right w:val="single" w:sz="4" w:space="0" w:color="auto"/>
            </w:tcBorders>
            <w:shd w:val="clear" w:color="auto" w:fill="auto"/>
            <w:hideMark/>
          </w:tcPr>
          <w:p w:rsidR="004E5BB3" w:rsidRPr="00AE6CD9" w:rsidRDefault="004E5BB3" w:rsidP="0051133A">
            <w:pPr>
              <w:spacing w:after="0" w:line="240" w:lineRule="auto"/>
              <w:rPr>
                <w:rFonts w:eastAsia="Times New Roman" w:cs="Arial"/>
                <w:b/>
                <w:sz w:val="16"/>
                <w:szCs w:val="16"/>
                <w:lang w:eastAsia="cs-CZ"/>
              </w:rPr>
            </w:pPr>
            <w:r w:rsidRPr="00AE6CD9">
              <w:rPr>
                <w:rFonts w:eastAsia="Times New Roman" w:cs="Arial"/>
                <w:b/>
                <w:sz w:val="16"/>
                <w:szCs w:val="16"/>
                <w:lang w:eastAsia="cs-CZ"/>
              </w:rPr>
              <w:t>Pokrok</w:t>
            </w:r>
          </w:p>
          <w:p w:rsidR="004E5BB3" w:rsidRPr="00930FE9" w:rsidRDefault="004E5BB3" w:rsidP="00930FE9">
            <w:pPr>
              <w:spacing w:after="0" w:line="240" w:lineRule="auto"/>
              <w:rPr>
                <w:rFonts w:eastAsia="Times New Roman" w:cs="Arial"/>
                <w:sz w:val="16"/>
                <w:szCs w:val="16"/>
                <w:lang w:eastAsia="cs-CZ"/>
              </w:rPr>
            </w:pPr>
            <w:r>
              <w:rPr>
                <w:rFonts w:eastAsia="Times New Roman" w:cs="Arial"/>
                <w:sz w:val="16"/>
                <w:szCs w:val="16"/>
                <w:lang w:eastAsia="cs-CZ"/>
              </w:rPr>
              <w:t>Připravují se podpůrné vzdělávací materiály</w:t>
            </w:r>
            <w:r w:rsidRPr="00930FE9">
              <w:rPr>
                <w:rFonts w:eastAsia="Times New Roman" w:cs="Arial"/>
                <w:sz w:val="16"/>
                <w:szCs w:val="16"/>
                <w:lang w:eastAsia="cs-CZ"/>
              </w:rPr>
              <w:t xml:space="preserve"> a aktivit</w:t>
            </w:r>
            <w:r>
              <w:rPr>
                <w:rFonts w:eastAsia="Times New Roman" w:cs="Arial"/>
                <w:sz w:val="16"/>
                <w:szCs w:val="16"/>
                <w:lang w:eastAsia="cs-CZ"/>
              </w:rPr>
              <w:t>y</w:t>
            </w:r>
            <w:r w:rsidRPr="00930FE9">
              <w:rPr>
                <w:rFonts w:eastAsia="Times New Roman" w:cs="Arial"/>
                <w:sz w:val="16"/>
                <w:szCs w:val="16"/>
                <w:lang w:eastAsia="cs-CZ"/>
              </w:rPr>
              <w:t xml:space="preserve"> pro pregraduální vzdělávání učitelů v rámci výzev OP VVV: </w:t>
            </w:r>
          </w:p>
          <w:p w:rsidR="004E5BB3" w:rsidRPr="00930FE9" w:rsidRDefault="004E5BB3" w:rsidP="00246A0B">
            <w:pPr>
              <w:pStyle w:val="Odstavecseseznamem"/>
              <w:numPr>
                <w:ilvl w:val="0"/>
                <w:numId w:val="6"/>
              </w:numPr>
              <w:spacing w:after="0" w:line="240" w:lineRule="auto"/>
              <w:ind w:left="214" w:hanging="218"/>
              <w:rPr>
                <w:rFonts w:eastAsia="Times New Roman" w:cs="Arial"/>
                <w:sz w:val="16"/>
                <w:szCs w:val="16"/>
                <w:lang w:eastAsia="cs-CZ"/>
              </w:rPr>
            </w:pPr>
            <w:r w:rsidRPr="00930FE9">
              <w:rPr>
                <w:rFonts w:eastAsia="Times New Roman" w:cs="Arial"/>
                <w:sz w:val="16"/>
                <w:szCs w:val="16"/>
                <w:lang w:eastAsia="cs-CZ"/>
              </w:rPr>
              <w:t xml:space="preserve">Výzva „Implementace SDV I“ (přijímání žádostí do </w:t>
            </w:r>
            <w:proofErr w:type="gramStart"/>
            <w:r w:rsidRPr="00930FE9">
              <w:rPr>
                <w:rFonts w:eastAsia="Times New Roman" w:cs="Arial"/>
                <w:sz w:val="16"/>
                <w:szCs w:val="16"/>
                <w:lang w:eastAsia="cs-CZ"/>
              </w:rPr>
              <w:t>31.3.2017</w:t>
            </w:r>
            <w:proofErr w:type="gramEnd"/>
            <w:r w:rsidRPr="00930FE9">
              <w:rPr>
                <w:rFonts w:eastAsia="Times New Roman" w:cs="Arial"/>
                <w:sz w:val="16"/>
                <w:szCs w:val="16"/>
                <w:lang w:eastAsia="cs-CZ"/>
              </w:rPr>
              <w:t>, zahájení červenec 2017)</w:t>
            </w:r>
          </w:p>
          <w:p w:rsidR="004E5BB3" w:rsidRPr="00930FE9" w:rsidRDefault="004E5BB3" w:rsidP="00246A0B">
            <w:pPr>
              <w:pStyle w:val="Odstavecseseznamem"/>
              <w:numPr>
                <w:ilvl w:val="0"/>
                <w:numId w:val="6"/>
              </w:numPr>
              <w:spacing w:after="0" w:line="240" w:lineRule="auto"/>
              <w:ind w:left="214" w:hanging="218"/>
              <w:rPr>
                <w:rFonts w:eastAsia="Times New Roman" w:cs="Arial"/>
                <w:sz w:val="16"/>
                <w:szCs w:val="16"/>
                <w:lang w:eastAsia="cs-CZ"/>
              </w:rPr>
            </w:pPr>
            <w:r w:rsidRPr="00930FE9">
              <w:rPr>
                <w:rFonts w:eastAsia="Times New Roman" w:cs="Arial"/>
                <w:sz w:val="16"/>
                <w:szCs w:val="16"/>
                <w:lang w:eastAsia="cs-CZ"/>
              </w:rPr>
              <w:t>Výzva „Pregraduální vzdělávání I“ “(vyhlášení podzim 2016, zahájení realizace říjen 2017)</w:t>
            </w:r>
          </w:p>
          <w:p w:rsidR="004E5BB3" w:rsidRPr="00044A2B" w:rsidRDefault="004E5BB3" w:rsidP="00E5311D">
            <w:pPr>
              <w:spacing w:after="0" w:line="240" w:lineRule="auto"/>
              <w:rPr>
                <w:rFonts w:eastAsia="Times New Roman" w:cs="Arial"/>
                <w:sz w:val="16"/>
                <w:szCs w:val="16"/>
                <w:lang w:eastAsia="cs-CZ"/>
              </w:rPr>
            </w:pPr>
            <w:r w:rsidRPr="00930FE9">
              <w:rPr>
                <w:rFonts w:eastAsia="Times New Roman" w:cs="Arial"/>
                <w:sz w:val="16"/>
                <w:szCs w:val="16"/>
                <w:lang w:eastAsia="cs-CZ"/>
              </w:rPr>
              <w:t>Budou vytvořeny vzorové sylaby předmětů vysokoškolské přípr</w:t>
            </w:r>
            <w:r>
              <w:rPr>
                <w:rFonts w:eastAsia="Times New Roman" w:cs="Arial"/>
                <w:sz w:val="16"/>
                <w:szCs w:val="16"/>
                <w:lang w:eastAsia="cs-CZ"/>
              </w:rPr>
              <w:t>avy učitelů zaměřených na didaktiku rozvoje</w:t>
            </w:r>
            <w:r w:rsidRPr="00930FE9">
              <w:rPr>
                <w:rFonts w:eastAsia="Times New Roman" w:cs="Arial"/>
                <w:sz w:val="16"/>
                <w:szCs w:val="16"/>
                <w:lang w:eastAsia="cs-CZ"/>
              </w:rPr>
              <w:t xml:space="preserve"> di</w:t>
            </w:r>
            <w:r>
              <w:rPr>
                <w:rFonts w:eastAsia="Times New Roman" w:cs="Arial"/>
                <w:sz w:val="16"/>
                <w:szCs w:val="16"/>
                <w:lang w:eastAsia="cs-CZ"/>
              </w:rPr>
              <w:t>gitální gramotnosti dětí a žáků a didaktiku informatiky.</w:t>
            </w:r>
          </w:p>
        </w:tc>
        <w:tc>
          <w:tcPr>
            <w:tcW w:w="127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31.12.2019</w:t>
            </w:r>
            <w:proofErr w:type="gramEnd"/>
          </w:p>
        </w:tc>
        <w:tc>
          <w:tcPr>
            <w:tcW w:w="283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r w:rsidR="004E5BB3" w:rsidRPr="00044A2B" w:rsidTr="00DC707B">
        <w:trPr>
          <w:trHeight w:val="1644"/>
        </w:trPr>
        <w:tc>
          <w:tcPr>
            <w:tcW w:w="1226" w:type="dxa"/>
            <w:vMerge/>
            <w:tcBorders>
              <w:top w:val="nil"/>
              <w:left w:val="single" w:sz="4" w:space="0" w:color="auto"/>
              <w:bottom w:val="single" w:sz="4" w:space="0" w:color="auto"/>
              <w:right w:val="single" w:sz="4" w:space="0" w:color="auto"/>
            </w:tcBorders>
            <w:vAlign w:val="center"/>
            <w:hideMark/>
          </w:tcPr>
          <w:p w:rsidR="004E5BB3" w:rsidRPr="00044A2B" w:rsidRDefault="004E5BB3"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3.2.3 Příprava celoplošně dostupné nabídky dalšího vzdělávání učitelů v oblasti rozvoje digitálních kompetencí a informatického myšlení žáků, včetně vytvoření masivních otevřených on-line kurzů (MOOC) s možností certifikovaného zakončení (osvědčení o absolvování DVPP).</w:t>
            </w:r>
          </w:p>
        </w:tc>
        <w:tc>
          <w:tcPr>
            <w:tcW w:w="992"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NIDV, další vzdělávací instituce</w:t>
            </w:r>
          </w:p>
        </w:tc>
        <w:tc>
          <w:tcPr>
            <w:tcW w:w="5954" w:type="dxa"/>
            <w:tcBorders>
              <w:top w:val="nil"/>
              <w:left w:val="nil"/>
              <w:bottom w:val="single" w:sz="4" w:space="0" w:color="auto"/>
              <w:right w:val="single" w:sz="4" w:space="0" w:color="auto"/>
            </w:tcBorders>
            <w:shd w:val="clear" w:color="auto" w:fill="auto"/>
            <w:hideMark/>
          </w:tcPr>
          <w:p w:rsidR="004E5BB3" w:rsidRPr="00DC707B" w:rsidRDefault="004E5BB3" w:rsidP="0045041A">
            <w:pPr>
              <w:spacing w:after="0" w:line="240" w:lineRule="auto"/>
              <w:rPr>
                <w:rFonts w:eastAsia="Times New Roman" w:cs="Arial"/>
                <w:b/>
                <w:sz w:val="16"/>
                <w:szCs w:val="16"/>
                <w:lang w:eastAsia="cs-CZ"/>
              </w:rPr>
            </w:pPr>
            <w:r w:rsidRPr="00DC707B">
              <w:rPr>
                <w:rFonts w:eastAsia="Times New Roman" w:cs="Arial"/>
                <w:b/>
                <w:sz w:val="16"/>
                <w:szCs w:val="16"/>
                <w:lang w:eastAsia="cs-CZ"/>
              </w:rPr>
              <w:t>Pokrok</w:t>
            </w:r>
          </w:p>
          <w:p w:rsidR="004E5BB3" w:rsidRPr="001B59E0" w:rsidRDefault="004E5BB3" w:rsidP="002200BE">
            <w:pPr>
              <w:spacing w:after="0" w:line="240" w:lineRule="auto"/>
              <w:rPr>
                <w:rFonts w:ascii="Calibri" w:eastAsia="Times New Roman" w:hAnsi="Calibri" w:cs="Times New Roman"/>
                <w:b/>
                <w:color w:val="000000"/>
                <w:sz w:val="16"/>
                <w:szCs w:val="16"/>
                <w:lang w:eastAsia="cs-CZ"/>
              </w:rPr>
            </w:pPr>
            <w:r>
              <w:rPr>
                <w:rFonts w:ascii="Calibri" w:eastAsia="Times New Roman" w:hAnsi="Calibri" w:cs="Times New Roman"/>
                <w:color w:val="000000"/>
                <w:sz w:val="16"/>
                <w:szCs w:val="16"/>
                <w:lang w:eastAsia="cs-CZ"/>
              </w:rPr>
              <w:t xml:space="preserve">Opatření řeší především </w:t>
            </w:r>
            <w:r w:rsidR="00C76AE2">
              <w:rPr>
                <w:rFonts w:ascii="Calibri" w:eastAsia="Times New Roman" w:hAnsi="Calibri" w:cs="Times New Roman"/>
                <w:color w:val="000000"/>
                <w:sz w:val="16"/>
                <w:szCs w:val="16"/>
                <w:lang w:eastAsia="cs-CZ"/>
              </w:rPr>
              <w:t xml:space="preserve">projekty </w:t>
            </w:r>
            <w:r>
              <w:rPr>
                <w:rFonts w:ascii="Calibri" w:eastAsia="Times New Roman" w:hAnsi="Calibri" w:cs="Times New Roman"/>
                <w:color w:val="000000"/>
                <w:sz w:val="16"/>
                <w:szCs w:val="16"/>
                <w:lang w:eastAsia="cs-CZ"/>
              </w:rPr>
              <w:t>výzv</w:t>
            </w:r>
            <w:r w:rsidR="00C76AE2">
              <w:rPr>
                <w:rFonts w:ascii="Calibri" w:eastAsia="Times New Roman" w:hAnsi="Calibri" w:cs="Times New Roman"/>
                <w:color w:val="000000"/>
                <w:sz w:val="16"/>
                <w:szCs w:val="16"/>
                <w:lang w:eastAsia="cs-CZ"/>
              </w:rPr>
              <w:t>y</w:t>
            </w:r>
            <w:r>
              <w:rPr>
                <w:rFonts w:ascii="Calibri" w:eastAsia="Times New Roman" w:hAnsi="Calibri" w:cs="Times New Roman"/>
                <w:color w:val="000000"/>
                <w:sz w:val="16"/>
                <w:szCs w:val="16"/>
                <w:lang w:eastAsia="cs-CZ"/>
              </w:rPr>
              <w:t xml:space="preserve"> OP VVV „</w:t>
            </w:r>
            <w:r w:rsidRPr="00A06004">
              <w:rPr>
                <w:rFonts w:ascii="Calibri" w:eastAsia="Times New Roman" w:hAnsi="Calibri" w:cs="Times New Roman"/>
                <w:i/>
                <w:color w:val="000000"/>
                <w:sz w:val="16"/>
                <w:szCs w:val="16"/>
                <w:lang w:eastAsia="cs-CZ"/>
              </w:rPr>
              <w:t>Implementace SDV I</w:t>
            </w:r>
            <w:r>
              <w:rPr>
                <w:rFonts w:ascii="Calibri" w:eastAsia="Times New Roman" w:hAnsi="Calibri" w:cs="Times New Roman"/>
                <w:color w:val="000000"/>
                <w:sz w:val="16"/>
                <w:szCs w:val="16"/>
                <w:lang w:eastAsia="cs-CZ"/>
              </w:rPr>
              <w:t>“ a IPS</w:t>
            </w:r>
            <w:r w:rsidRPr="00555FA0">
              <w:rPr>
                <w:rFonts w:ascii="Calibri" w:eastAsia="Times New Roman" w:hAnsi="Calibri" w:cs="Times New Roman"/>
                <w:i/>
                <w:iCs/>
                <w:color w:val="000000"/>
                <w:sz w:val="16"/>
                <w:szCs w:val="16"/>
                <w:lang w:eastAsia="cs-CZ"/>
              </w:rPr>
              <w:t xml:space="preserve"> „</w:t>
            </w:r>
            <w:r>
              <w:rPr>
                <w:rFonts w:ascii="Calibri" w:eastAsia="Times New Roman" w:hAnsi="Calibri" w:cs="Times New Roman"/>
                <w:i/>
                <w:iCs/>
                <w:color w:val="000000"/>
                <w:sz w:val="16"/>
                <w:szCs w:val="16"/>
                <w:lang w:eastAsia="cs-CZ"/>
              </w:rPr>
              <w:t>Podpora práce</w:t>
            </w:r>
            <w:r w:rsidRPr="00555FA0">
              <w:rPr>
                <w:rFonts w:ascii="Calibri" w:eastAsia="Times New Roman" w:hAnsi="Calibri" w:cs="Times New Roman"/>
                <w:i/>
                <w:iCs/>
                <w:color w:val="000000"/>
                <w:sz w:val="16"/>
                <w:szCs w:val="16"/>
                <w:lang w:eastAsia="cs-CZ"/>
              </w:rPr>
              <w:t xml:space="preserve"> </w:t>
            </w:r>
            <w:r w:rsidR="009C1AC6">
              <w:rPr>
                <w:rFonts w:ascii="Calibri" w:eastAsia="Times New Roman" w:hAnsi="Calibri" w:cs="Times New Roman"/>
                <w:i/>
                <w:iCs/>
                <w:color w:val="000000"/>
                <w:sz w:val="16"/>
                <w:szCs w:val="16"/>
                <w:lang w:eastAsia="cs-CZ"/>
              </w:rPr>
              <w:t>učitelů</w:t>
            </w:r>
            <w:r w:rsidRPr="00555FA0">
              <w:rPr>
                <w:rFonts w:ascii="Calibri" w:eastAsia="Times New Roman" w:hAnsi="Calibri" w:cs="Times New Roman"/>
                <w:i/>
                <w:iCs/>
                <w:color w:val="000000"/>
                <w:sz w:val="16"/>
                <w:szCs w:val="16"/>
                <w:lang w:eastAsia="cs-CZ"/>
              </w:rPr>
              <w:t>“</w:t>
            </w:r>
            <w:r>
              <w:rPr>
                <w:rFonts w:ascii="Calibri" w:eastAsia="Times New Roman" w:hAnsi="Calibri" w:cs="Times New Roman"/>
                <w:iCs/>
                <w:color w:val="000000"/>
                <w:sz w:val="16"/>
                <w:szCs w:val="16"/>
                <w:lang w:eastAsia="cs-CZ"/>
              </w:rPr>
              <w:t xml:space="preserve"> (</w:t>
            </w:r>
            <w:r>
              <w:rPr>
                <w:rFonts w:ascii="Calibri" w:eastAsia="Times New Roman" w:hAnsi="Calibri" w:cs="Times New Roman"/>
                <w:color w:val="000000"/>
                <w:sz w:val="16"/>
                <w:szCs w:val="16"/>
                <w:lang w:eastAsia="cs-CZ"/>
              </w:rPr>
              <w:t xml:space="preserve">projekt realizuje NUV od </w:t>
            </w:r>
            <w:proofErr w:type="gramStart"/>
            <w:r>
              <w:rPr>
                <w:rFonts w:ascii="Calibri" w:eastAsia="Times New Roman" w:hAnsi="Calibri" w:cs="Times New Roman"/>
                <w:color w:val="000000"/>
                <w:sz w:val="16"/>
                <w:szCs w:val="16"/>
                <w:lang w:eastAsia="cs-CZ"/>
              </w:rPr>
              <w:t>1.12.2016</w:t>
            </w:r>
            <w:proofErr w:type="gramEnd"/>
            <w:r>
              <w:rPr>
                <w:rFonts w:ascii="Calibri" w:eastAsia="Times New Roman" w:hAnsi="Calibri" w:cs="Times New Roman"/>
                <w:color w:val="000000"/>
                <w:sz w:val="16"/>
                <w:szCs w:val="16"/>
                <w:lang w:eastAsia="cs-CZ"/>
              </w:rPr>
              <w:t xml:space="preserve">, </w:t>
            </w:r>
            <w:r>
              <w:rPr>
                <w:rFonts w:ascii="Calibri" w:eastAsia="Times New Roman" w:hAnsi="Calibri" w:cs="Times New Roman"/>
                <w:iCs/>
                <w:color w:val="000000"/>
                <w:sz w:val="16"/>
                <w:szCs w:val="16"/>
                <w:lang w:eastAsia="cs-CZ"/>
              </w:rPr>
              <w:t>zde povinná aktivity vytvořit modul pro vzdělávání učitelů s tematikou digitální gramotnosti napříč všemi vzdělávacími oblastmi RVP MŠ a ZŠ).</w:t>
            </w:r>
          </w:p>
          <w:p w:rsidR="004E5BB3" w:rsidRPr="002200BE" w:rsidRDefault="004E5BB3" w:rsidP="0045041A">
            <w:pPr>
              <w:spacing w:after="0" w:line="240" w:lineRule="auto"/>
            </w:pPr>
            <w:r w:rsidRPr="001B59E0">
              <w:rPr>
                <w:rFonts w:ascii="Calibri" w:eastAsia="Times New Roman" w:hAnsi="Calibri" w:cs="Times New Roman"/>
                <w:color w:val="000000"/>
                <w:sz w:val="16"/>
                <w:szCs w:val="16"/>
                <w:lang w:eastAsia="cs-CZ"/>
              </w:rPr>
              <w:t>Pravidla pro tvorbu MOOC kurzů „</w:t>
            </w:r>
            <w:r w:rsidRPr="001B59E0">
              <w:rPr>
                <w:sz w:val="16"/>
                <w:szCs w:val="16"/>
              </w:rPr>
              <w:t>Masivní otevřené kurzy – vymezení a doporučení“ jsou</w:t>
            </w:r>
            <w:r w:rsidRPr="001B59E0">
              <w:rPr>
                <w:rFonts w:ascii="Calibri" w:eastAsia="Times New Roman" w:hAnsi="Calibri" w:cs="Times New Roman"/>
                <w:color w:val="000000"/>
                <w:sz w:val="16"/>
                <w:szCs w:val="16"/>
                <w:lang w:eastAsia="cs-CZ"/>
              </w:rPr>
              <w:t xml:space="preserve"> zveřejněna na </w:t>
            </w:r>
            <w:hyperlink r:id="rId14" w:history="1">
              <w:r w:rsidRPr="001B59E0">
                <w:rPr>
                  <w:rStyle w:val="Hypertextovodkaz"/>
                  <w:rFonts w:ascii="Calibri" w:eastAsia="Times New Roman" w:hAnsi="Calibri" w:cs="Times New Roman"/>
                  <w:sz w:val="16"/>
                  <w:szCs w:val="16"/>
                  <w:lang w:eastAsia="cs-CZ"/>
                </w:rPr>
                <w:t>www.rvp.cz</w:t>
              </w:r>
            </w:hyperlink>
            <w:r w:rsidRPr="001B59E0">
              <w:rPr>
                <w:rFonts w:ascii="Calibri" w:eastAsia="Times New Roman" w:hAnsi="Calibri" w:cs="Times New Roman"/>
                <w:color w:val="000000"/>
                <w:sz w:val="16"/>
                <w:szCs w:val="16"/>
                <w:lang w:eastAsia="cs-CZ"/>
              </w:rPr>
              <w:t xml:space="preserve"> dne 1. 9. 2016 a budou součástí specifických pravidle výzvy I SDV 1:</w:t>
            </w:r>
            <w:r w:rsidR="00DC707B">
              <w:rPr>
                <w:rFonts w:ascii="Calibri" w:eastAsia="Times New Roman" w:hAnsi="Calibri" w:cs="Times New Roman"/>
                <w:color w:val="000000"/>
                <w:sz w:val="16"/>
                <w:szCs w:val="16"/>
                <w:lang w:eastAsia="cs-CZ"/>
              </w:rPr>
              <w:t xml:space="preserve"> </w:t>
            </w:r>
            <w:hyperlink r:id="rId15" w:history="1">
              <w:r w:rsidRPr="001B59E0">
                <w:rPr>
                  <w:rStyle w:val="Hypertextovodkaz"/>
                  <w:rFonts w:ascii="Calibri" w:eastAsia="Times New Roman" w:hAnsi="Calibri" w:cs="Times New Roman"/>
                  <w:sz w:val="16"/>
                  <w:szCs w:val="16"/>
                  <w:lang w:eastAsia="cs-CZ"/>
                </w:rPr>
                <w:t>http://clanky.rvp.cz/clanek/c/Z/21085/MASIVNI-OTEVRENE-ONLINE-KURZY---VYMEZENI-A-DOPORUCENI.html</w:t>
              </w:r>
            </w:hyperlink>
            <w:r>
              <w:rPr>
                <w:rStyle w:val="Hypertextovodkaz"/>
                <w:rFonts w:ascii="Calibri" w:eastAsia="Times New Roman" w:hAnsi="Calibri" w:cs="Times New Roman"/>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31.12.2018</w:t>
            </w:r>
            <w:proofErr w:type="gramEnd"/>
          </w:p>
        </w:tc>
        <w:tc>
          <w:tcPr>
            <w:tcW w:w="2835" w:type="dxa"/>
            <w:tcBorders>
              <w:top w:val="nil"/>
              <w:left w:val="nil"/>
              <w:bottom w:val="single" w:sz="4" w:space="0" w:color="auto"/>
              <w:right w:val="single" w:sz="4" w:space="0" w:color="auto"/>
            </w:tcBorders>
            <w:shd w:val="clear" w:color="auto" w:fill="auto"/>
            <w:hideMark/>
          </w:tcPr>
          <w:p w:rsidR="004E5BB3" w:rsidRPr="00044A2B" w:rsidRDefault="004E5BB3"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bl>
    <w:p w:rsidR="00790F57" w:rsidRDefault="00790F57" w:rsidP="00B74F3F"/>
    <w:p w:rsidR="00790F57" w:rsidRDefault="00790F57">
      <w:pPr>
        <w:spacing w:after="160" w:line="259" w:lineRule="auto"/>
        <w:jc w:val="left"/>
      </w:pPr>
      <w:r>
        <w:br w:type="page"/>
      </w:r>
    </w:p>
    <w:p w:rsidR="007C3CF7" w:rsidRDefault="007C3CF7" w:rsidP="00DC707B">
      <w:pPr>
        <w:pStyle w:val="Nadpis2"/>
        <w:ind w:left="1080"/>
      </w:pPr>
      <w:bookmarkStart w:id="6" w:name="_Toc469572107"/>
      <w:r>
        <w:lastRenderedPageBreak/>
        <w:t>Zajistit budování a obnovu vzdělávací infrastruktury.</w:t>
      </w:r>
      <w:bookmarkEnd w:id="6"/>
    </w:p>
    <w:p w:rsidR="00453336" w:rsidRDefault="00C76AE2" w:rsidP="00C76AE2">
      <w:pPr>
        <w:pStyle w:val="Nadpis3"/>
      </w:pPr>
      <w:r>
        <w:t>Indikátory úspěchu</w:t>
      </w:r>
    </w:p>
    <w:tbl>
      <w:tblPr>
        <w:tblStyle w:val="Mkatabulky"/>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gridCol w:w="11544"/>
      </w:tblGrid>
      <w:tr w:rsidR="00C76AE2" w:rsidRPr="00C76AE2" w:rsidTr="00C76AE2">
        <w:trPr>
          <w:trHeight w:val="1139"/>
        </w:trPr>
        <w:tc>
          <w:tcPr>
            <w:tcW w:w="3619" w:type="dxa"/>
            <w:hideMark/>
          </w:tcPr>
          <w:p w:rsidR="00C76AE2" w:rsidRPr="00C76AE2" w:rsidRDefault="00C76AE2" w:rsidP="00C76AE2">
            <w:r w:rsidRPr="00C76AE2">
              <w:t>4.1 Zajištění udržitelného financování škol a školských zařízení v oblasti infrastruktury</w:t>
            </w:r>
          </w:p>
        </w:tc>
        <w:tc>
          <w:tcPr>
            <w:tcW w:w="11544" w:type="dxa"/>
            <w:hideMark/>
          </w:tcPr>
          <w:p w:rsidR="00C76AE2" w:rsidRPr="00C76AE2" w:rsidRDefault="00C76AE2" w:rsidP="00C76AE2">
            <w:r w:rsidRPr="00C76AE2">
              <w:t>Školy a školská zařízení disponují pravidelným přísunem finančních prostředků, který jim umožňuje plánovat obnovu a rozvoj digitální infrastruktury. Digitální infrastruktura je využívána nejen pro informatické předměty, ale pro podporu výuky všech vzdělávacích oblastí.</w:t>
            </w:r>
          </w:p>
        </w:tc>
      </w:tr>
      <w:tr w:rsidR="00C76AE2" w:rsidRPr="00C76AE2" w:rsidTr="00C76AE2">
        <w:trPr>
          <w:trHeight w:val="509"/>
        </w:trPr>
        <w:tc>
          <w:tcPr>
            <w:tcW w:w="3619" w:type="dxa"/>
            <w:hideMark/>
          </w:tcPr>
          <w:p w:rsidR="00C76AE2" w:rsidRPr="00C76AE2" w:rsidRDefault="00C76AE2" w:rsidP="00C76AE2">
            <w:r w:rsidRPr="00C76AE2">
              <w:t>4.2 Podpora připojení k internetu</w:t>
            </w:r>
          </w:p>
        </w:tc>
        <w:tc>
          <w:tcPr>
            <w:tcW w:w="11544" w:type="dxa"/>
            <w:hideMark/>
          </w:tcPr>
          <w:p w:rsidR="00C76AE2" w:rsidRPr="00C76AE2" w:rsidRDefault="00C76AE2" w:rsidP="00C76AE2">
            <w:r w:rsidRPr="00C76AE2">
              <w:t>Každá škola a školské zařízení je připojeno k vysokorychlostnímu internetu umožňujícímu současné využívání internetu všemi žáky a učiteli. Podpora je přednostně zaměřena na lokality, ve kterých je kvalitní vysokorychlostní přístup k internetu v jinde běžných cenových možnostech problematický (zejm. periferní oblasti).</w:t>
            </w:r>
          </w:p>
        </w:tc>
      </w:tr>
      <w:tr w:rsidR="00C76AE2" w:rsidRPr="00C76AE2" w:rsidTr="00C76AE2">
        <w:trPr>
          <w:trHeight w:val="675"/>
        </w:trPr>
        <w:tc>
          <w:tcPr>
            <w:tcW w:w="3619" w:type="dxa"/>
            <w:hideMark/>
          </w:tcPr>
          <w:p w:rsidR="00C76AE2" w:rsidRPr="00C76AE2" w:rsidRDefault="00C76AE2" w:rsidP="00C76AE2">
            <w:r w:rsidRPr="00C76AE2">
              <w:t>4.3 Podpora správy digitální infrastruktury ve školách</w:t>
            </w:r>
          </w:p>
        </w:tc>
        <w:tc>
          <w:tcPr>
            <w:tcW w:w="11544" w:type="dxa"/>
            <w:hideMark/>
          </w:tcPr>
          <w:p w:rsidR="00C76AE2" w:rsidRPr="00C76AE2" w:rsidRDefault="00C76AE2" w:rsidP="00C76AE2">
            <w:r w:rsidRPr="00C76AE2">
              <w:t>Správa digitální infrastruktury je na školách profesionálně zajištěna obdobně, jako tomu je v jiných veřejných a státních institucích.</w:t>
            </w:r>
          </w:p>
        </w:tc>
      </w:tr>
    </w:tbl>
    <w:p w:rsidR="00C76AE2" w:rsidRDefault="00C76AE2" w:rsidP="00EA061B"/>
    <w:tbl>
      <w:tblPr>
        <w:tblW w:w="15309" w:type="dxa"/>
        <w:tblInd w:w="-5" w:type="dxa"/>
        <w:tblLayout w:type="fixed"/>
        <w:tblCellMar>
          <w:left w:w="70" w:type="dxa"/>
          <w:right w:w="70" w:type="dxa"/>
        </w:tblCellMar>
        <w:tblLook w:val="04A0" w:firstRow="1" w:lastRow="0" w:firstColumn="1" w:lastColumn="0" w:noHBand="0" w:noVBand="1"/>
      </w:tblPr>
      <w:tblGrid>
        <w:gridCol w:w="1226"/>
        <w:gridCol w:w="3027"/>
        <w:gridCol w:w="992"/>
        <w:gridCol w:w="5954"/>
        <w:gridCol w:w="1275"/>
        <w:gridCol w:w="2835"/>
      </w:tblGrid>
      <w:tr w:rsidR="00DC707B" w:rsidRPr="000E6580" w:rsidTr="000E6580">
        <w:trPr>
          <w:trHeight w:val="810"/>
          <w:tblHeader/>
        </w:trPr>
        <w:tc>
          <w:tcPr>
            <w:tcW w:w="1226" w:type="dxa"/>
            <w:tcBorders>
              <w:top w:val="single" w:sz="4" w:space="0" w:color="auto"/>
              <w:left w:val="single" w:sz="4" w:space="0" w:color="auto"/>
              <w:bottom w:val="single" w:sz="4" w:space="0" w:color="auto"/>
              <w:right w:val="single" w:sz="4" w:space="0" w:color="auto"/>
            </w:tcBorders>
            <w:shd w:val="clear" w:color="auto" w:fill="FFFF66"/>
            <w:hideMark/>
          </w:tcPr>
          <w:p w:rsidR="00DC707B" w:rsidRPr="000E6580" w:rsidRDefault="00DC707B"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Opatření</w:t>
            </w:r>
          </w:p>
        </w:tc>
        <w:tc>
          <w:tcPr>
            <w:tcW w:w="3027" w:type="dxa"/>
            <w:tcBorders>
              <w:top w:val="single" w:sz="4" w:space="0" w:color="auto"/>
              <w:left w:val="nil"/>
              <w:bottom w:val="single" w:sz="4" w:space="0" w:color="auto"/>
              <w:right w:val="single" w:sz="4" w:space="0" w:color="auto"/>
            </w:tcBorders>
            <w:shd w:val="clear" w:color="auto" w:fill="FFFF66"/>
            <w:hideMark/>
          </w:tcPr>
          <w:p w:rsidR="00DC707B" w:rsidRPr="000E6580" w:rsidRDefault="00DC707B"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Aktivity</w:t>
            </w:r>
          </w:p>
        </w:tc>
        <w:tc>
          <w:tcPr>
            <w:tcW w:w="992" w:type="dxa"/>
            <w:tcBorders>
              <w:top w:val="single" w:sz="4" w:space="0" w:color="auto"/>
              <w:left w:val="nil"/>
              <w:bottom w:val="single" w:sz="4" w:space="0" w:color="auto"/>
              <w:right w:val="single" w:sz="4" w:space="0" w:color="auto"/>
            </w:tcBorders>
            <w:shd w:val="clear" w:color="auto" w:fill="FFFF66"/>
            <w:hideMark/>
          </w:tcPr>
          <w:p w:rsidR="00DC707B" w:rsidRPr="000E6580" w:rsidRDefault="00DC707B"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Návrh realizace v SDV</w:t>
            </w:r>
          </w:p>
        </w:tc>
        <w:tc>
          <w:tcPr>
            <w:tcW w:w="5954" w:type="dxa"/>
            <w:tcBorders>
              <w:top w:val="single" w:sz="4" w:space="0" w:color="auto"/>
              <w:left w:val="nil"/>
              <w:bottom w:val="single" w:sz="4" w:space="0" w:color="auto"/>
              <w:right w:val="single" w:sz="4" w:space="0" w:color="auto"/>
            </w:tcBorders>
            <w:shd w:val="clear" w:color="auto" w:fill="FFFF66"/>
            <w:hideMark/>
          </w:tcPr>
          <w:p w:rsidR="00DC707B" w:rsidRPr="000E6580" w:rsidRDefault="000E6580"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Stav plnění, návrh na úpravy znění</w:t>
            </w:r>
          </w:p>
        </w:tc>
        <w:tc>
          <w:tcPr>
            <w:tcW w:w="1275" w:type="dxa"/>
            <w:tcBorders>
              <w:top w:val="single" w:sz="4" w:space="0" w:color="auto"/>
              <w:left w:val="nil"/>
              <w:bottom w:val="single" w:sz="4" w:space="0" w:color="auto"/>
              <w:right w:val="single" w:sz="4" w:space="0" w:color="auto"/>
            </w:tcBorders>
            <w:shd w:val="clear" w:color="auto" w:fill="FFFF66"/>
            <w:hideMark/>
          </w:tcPr>
          <w:p w:rsidR="00DC707B" w:rsidRPr="000E6580" w:rsidRDefault="00DC707B"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Termín (SDV)</w:t>
            </w:r>
          </w:p>
        </w:tc>
        <w:tc>
          <w:tcPr>
            <w:tcW w:w="2835" w:type="dxa"/>
            <w:tcBorders>
              <w:top w:val="single" w:sz="4" w:space="0" w:color="auto"/>
              <w:left w:val="nil"/>
              <w:bottom w:val="single" w:sz="4" w:space="0" w:color="auto"/>
              <w:right w:val="single" w:sz="4" w:space="0" w:color="auto"/>
            </w:tcBorders>
            <w:shd w:val="clear" w:color="auto" w:fill="FFFF66"/>
            <w:hideMark/>
          </w:tcPr>
          <w:p w:rsidR="00DC707B" w:rsidRPr="000E6580" w:rsidRDefault="00DC707B"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Změna termínu + důvod</w:t>
            </w:r>
          </w:p>
        </w:tc>
      </w:tr>
      <w:tr w:rsidR="00DC707B" w:rsidRPr="00044A2B" w:rsidTr="00DC707B">
        <w:trPr>
          <w:trHeight w:val="848"/>
        </w:trPr>
        <w:tc>
          <w:tcPr>
            <w:tcW w:w="1226" w:type="dxa"/>
            <w:tcBorders>
              <w:top w:val="nil"/>
              <w:left w:val="single" w:sz="4" w:space="0" w:color="auto"/>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4.1 Zajištění udržitelného financování škol a školských zařízení v oblasti infrastruktury</w:t>
            </w:r>
          </w:p>
        </w:tc>
        <w:tc>
          <w:tcPr>
            <w:tcW w:w="3027"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xml:space="preserve">4.1.1 </w:t>
            </w:r>
            <w:r w:rsidR="00126699" w:rsidRPr="00DD4F2F">
              <w:rPr>
                <w:rFonts w:eastAsia="Times New Roman" w:cs="Arial"/>
                <w:sz w:val="16"/>
                <w:szCs w:val="16"/>
                <w:lang w:eastAsia="cs-CZ"/>
              </w:rPr>
              <w:t>Vytvoření analýzy a doporučení pro udržitelné financování škol a školských zařízení v oblasti rozvoje digitální infrastruktury škol</w:t>
            </w:r>
            <w:r w:rsidR="00126699">
              <w:rPr>
                <w:rFonts w:eastAsia="Times New Roman" w:cs="Arial"/>
                <w:sz w:val="16"/>
                <w:szCs w:val="16"/>
                <w:lang w:eastAsia="cs-CZ"/>
              </w:rPr>
              <w:t xml:space="preserve"> po ukončení OP VVV</w:t>
            </w:r>
            <w:r w:rsidR="00126699" w:rsidRPr="00DD4F2F">
              <w:rPr>
                <w:rFonts w:eastAsia="Times New Roman" w:cs="Arial"/>
                <w:sz w:val="16"/>
                <w:szCs w:val="16"/>
                <w:lang w:eastAsia="cs-CZ"/>
              </w:rPr>
              <w:t xml:space="preserve">. Příprava reálného plánu udržitelného způsobu financování </w:t>
            </w:r>
            <w:r w:rsidR="00126699">
              <w:rPr>
                <w:rFonts w:eastAsia="Times New Roman" w:cs="Arial"/>
                <w:sz w:val="16"/>
                <w:szCs w:val="16"/>
                <w:lang w:eastAsia="cs-CZ"/>
              </w:rPr>
              <w:t xml:space="preserve">digitální infrastruktury škol. Pravidelná publikace </w:t>
            </w:r>
            <w:r w:rsidR="00126699" w:rsidRPr="00044A2B">
              <w:rPr>
                <w:rFonts w:eastAsia="Times New Roman" w:cs="Arial"/>
                <w:sz w:val="16"/>
                <w:szCs w:val="16"/>
                <w:lang w:eastAsia="cs-CZ"/>
              </w:rPr>
              <w:t>dokument</w:t>
            </w:r>
            <w:r w:rsidR="00126699">
              <w:rPr>
                <w:rFonts w:eastAsia="Times New Roman" w:cs="Arial"/>
                <w:sz w:val="16"/>
                <w:szCs w:val="16"/>
                <w:lang w:eastAsia="cs-CZ"/>
              </w:rPr>
              <w:t>u</w:t>
            </w:r>
            <w:r w:rsidR="00126699" w:rsidRPr="00044A2B">
              <w:rPr>
                <w:rFonts w:eastAsia="Times New Roman" w:cs="Arial"/>
                <w:sz w:val="16"/>
                <w:szCs w:val="16"/>
                <w:lang w:eastAsia="cs-CZ"/>
              </w:rPr>
              <w:t>, z jakých zdrojů by školy mohly čerpat finanční prostředky pro zajištění financování</w:t>
            </w:r>
            <w:r w:rsidR="00126699">
              <w:rPr>
                <w:rFonts w:eastAsia="Times New Roman" w:cs="Arial"/>
                <w:sz w:val="16"/>
                <w:szCs w:val="16"/>
                <w:lang w:eastAsia="cs-CZ"/>
              </w:rPr>
              <w:t xml:space="preserve"> digitální infrastruktury.</w:t>
            </w:r>
          </w:p>
        </w:tc>
        <w:tc>
          <w:tcPr>
            <w:tcW w:w="992"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DC707B" w:rsidRPr="007B17FF" w:rsidRDefault="00DC707B" w:rsidP="00DD4F2F">
            <w:pPr>
              <w:spacing w:after="0" w:line="240" w:lineRule="auto"/>
              <w:rPr>
                <w:rFonts w:eastAsia="Times New Roman" w:cs="Arial"/>
                <w:b/>
                <w:sz w:val="16"/>
                <w:szCs w:val="16"/>
                <w:lang w:eastAsia="cs-CZ"/>
              </w:rPr>
            </w:pPr>
            <w:r w:rsidRPr="007B17FF">
              <w:rPr>
                <w:rFonts w:eastAsia="Times New Roman" w:cs="Arial"/>
                <w:b/>
                <w:sz w:val="16"/>
                <w:szCs w:val="16"/>
                <w:lang w:eastAsia="cs-CZ"/>
              </w:rPr>
              <w:t xml:space="preserve">Omezený pokrok </w:t>
            </w:r>
          </w:p>
          <w:p w:rsidR="00DC707B" w:rsidRPr="00B3527B" w:rsidRDefault="00DC707B" w:rsidP="00B3527B">
            <w:pPr>
              <w:spacing w:after="0" w:line="240" w:lineRule="auto"/>
              <w:rPr>
                <w:rFonts w:eastAsia="Times New Roman" w:cs="Arial"/>
                <w:sz w:val="16"/>
                <w:szCs w:val="16"/>
                <w:lang w:eastAsia="cs-CZ"/>
              </w:rPr>
            </w:pPr>
            <w:r w:rsidRPr="00B3527B">
              <w:rPr>
                <w:rFonts w:eastAsia="Times New Roman" w:cs="Arial"/>
                <w:sz w:val="16"/>
                <w:szCs w:val="16"/>
                <w:lang w:eastAsia="cs-CZ"/>
              </w:rPr>
              <w:t xml:space="preserve">Financování ze státního rozpočtu </w:t>
            </w:r>
          </w:p>
          <w:p w:rsidR="00DC707B" w:rsidRPr="00B3527B"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 xml:space="preserve">K 1. </w:t>
            </w:r>
            <w:r w:rsidR="00902257">
              <w:rPr>
                <w:rFonts w:eastAsia="Times New Roman" w:cs="Arial"/>
                <w:sz w:val="16"/>
                <w:szCs w:val="16"/>
                <w:lang w:eastAsia="cs-CZ"/>
              </w:rPr>
              <w:t>1</w:t>
            </w:r>
            <w:r w:rsidRPr="00B3527B">
              <w:rPr>
                <w:rFonts w:eastAsia="Times New Roman" w:cs="Arial"/>
                <w:sz w:val="16"/>
                <w:szCs w:val="16"/>
                <w:lang w:eastAsia="cs-CZ"/>
              </w:rPr>
              <w:t>. 201</w:t>
            </w:r>
            <w:r w:rsidR="00902257">
              <w:rPr>
                <w:rFonts w:eastAsia="Times New Roman" w:cs="Arial"/>
                <w:sz w:val="16"/>
                <w:szCs w:val="16"/>
                <w:lang w:eastAsia="cs-CZ"/>
              </w:rPr>
              <w:t>9</w:t>
            </w:r>
            <w:r w:rsidRPr="00B3527B">
              <w:rPr>
                <w:rFonts w:eastAsia="Times New Roman" w:cs="Arial"/>
                <w:sz w:val="16"/>
                <w:szCs w:val="16"/>
                <w:lang w:eastAsia="cs-CZ"/>
              </w:rPr>
              <w:t xml:space="preserve"> MŠMT připravuje nový způsob financování regionálního školství.  Reforma řeší především nový způsob financování pedagogické a nepedagogické práce. Učební pomůcky budou i nadále financovány prostřednictvím normativu na žáka. Navýšení normativu na žáka není předmětem reformy a v návaznosti na ukončení financování z evropských fondů bude třeba řešit samostatně.</w:t>
            </w:r>
          </w:p>
          <w:p w:rsidR="00DC707B" w:rsidRPr="00B3527B"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Pro obnovu infrastruktury škol v oblasti digitálních technologií aktuálně preferujeme využití prostředků evropských fondů (OP VVV, IROP).</w:t>
            </w:r>
          </w:p>
          <w:p w:rsidR="00DC707B" w:rsidRPr="00B3527B" w:rsidRDefault="00DC707B" w:rsidP="00B3527B">
            <w:pPr>
              <w:spacing w:after="0" w:line="240" w:lineRule="auto"/>
              <w:rPr>
                <w:rFonts w:eastAsia="Times New Roman" w:cs="Arial"/>
                <w:sz w:val="16"/>
                <w:szCs w:val="16"/>
                <w:lang w:eastAsia="cs-CZ"/>
              </w:rPr>
            </w:pPr>
            <w:r w:rsidRPr="00B3527B">
              <w:rPr>
                <w:rFonts w:eastAsia="Times New Roman" w:cs="Arial"/>
                <w:sz w:val="16"/>
                <w:szCs w:val="16"/>
                <w:lang w:eastAsia="cs-CZ"/>
              </w:rPr>
              <w:t>Financování od zřizovatele (školy obecní, krajské) Zřizovatel v oblasti digitálních technologií financuje:</w:t>
            </w:r>
          </w:p>
          <w:p w:rsidR="00DC707B" w:rsidRPr="00B3527B"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Kone</w:t>
            </w:r>
            <w:r w:rsidR="002144D7">
              <w:rPr>
                <w:rFonts w:eastAsia="Times New Roman" w:cs="Arial"/>
                <w:sz w:val="16"/>
                <w:szCs w:val="16"/>
                <w:lang w:eastAsia="cs-CZ"/>
              </w:rPr>
              <w:t>ktivitu (§160, odst.1c školského zákona</w:t>
            </w:r>
            <w:r w:rsidRPr="00B3527B">
              <w:rPr>
                <w:rFonts w:eastAsia="Times New Roman" w:cs="Arial"/>
                <w:sz w:val="16"/>
                <w:szCs w:val="16"/>
                <w:lang w:eastAsia="cs-CZ"/>
              </w:rPr>
              <w:t>)</w:t>
            </w:r>
          </w:p>
          <w:p w:rsidR="00DC707B" w:rsidRPr="00B3527B"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Učební pomůcky investičního charakteru</w:t>
            </w:r>
          </w:p>
          <w:p w:rsidR="00DC707B" w:rsidRPr="00B3527B" w:rsidRDefault="00DC707B" w:rsidP="00B3527B">
            <w:pPr>
              <w:spacing w:after="0" w:line="240" w:lineRule="auto"/>
              <w:rPr>
                <w:rFonts w:eastAsia="Times New Roman" w:cs="Arial"/>
                <w:sz w:val="16"/>
                <w:szCs w:val="16"/>
                <w:lang w:eastAsia="cs-CZ"/>
              </w:rPr>
            </w:pPr>
            <w:r w:rsidRPr="00B3527B">
              <w:rPr>
                <w:rFonts w:eastAsia="Times New Roman" w:cs="Arial"/>
                <w:sz w:val="16"/>
                <w:szCs w:val="16"/>
                <w:lang w:eastAsia="cs-CZ"/>
              </w:rPr>
              <w:t>Financování z OP VVV:</w:t>
            </w:r>
          </w:p>
          <w:p w:rsidR="00DC707B" w:rsidRPr="00B3527B"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Především 3. vlna šablon (1. vlna od roku 2016, 2. vlna 2018, 3. vlna 2020) umožní nákup digitálních technologií v návaznosti na inovace ve výuce</w:t>
            </w:r>
          </w:p>
          <w:p w:rsidR="00DC707B" w:rsidRPr="00B3527B"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 xml:space="preserve">Výzvy Implementace krajských akčních plánů a Implementace Místních akčních plánů  </w:t>
            </w:r>
          </w:p>
          <w:p w:rsidR="00DC707B" w:rsidRPr="00B3527B" w:rsidRDefault="00DC707B" w:rsidP="00B3527B">
            <w:pPr>
              <w:spacing w:after="0" w:line="240" w:lineRule="auto"/>
              <w:rPr>
                <w:rFonts w:eastAsia="Times New Roman" w:cs="Arial"/>
                <w:sz w:val="16"/>
                <w:szCs w:val="16"/>
                <w:lang w:eastAsia="cs-CZ"/>
              </w:rPr>
            </w:pPr>
            <w:r w:rsidRPr="00B3527B">
              <w:rPr>
                <w:rFonts w:eastAsia="Times New Roman" w:cs="Arial"/>
                <w:sz w:val="16"/>
                <w:szCs w:val="16"/>
                <w:lang w:eastAsia="cs-CZ"/>
              </w:rPr>
              <w:t xml:space="preserve">Financování z IROP: </w:t>
            </w:r>
          </w:p>
          <w:p w:rsidR="00DC707B" w:rsidRPr="00B3527B"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 xml:space="preserve">Výzvy 46 a 47 „Infrastruktura základních škol“ a výzvy 32 a 33 „Infrastruktura středních škol a vyšších odborných škol“ umožňují čerpat finanční prostředky na budování </w:t>
            </w:r>
            <w:r w:rsidRPr="00B3527B">
              <w:rPr>
                <w:rFonts w:eastAsia="Times New Roman" w:cs="Arial"/>
                <w:sz w:val="16"/>
                <w:szCs w:val="16"/>
                <w:lang w:eastAsia="cs-CZ"/>
              </w:rPr>
              <w:lastRenderedPageBreak/>
              <w:t>internetové přípojky, vybudování vnitřních internetových sítí a vybavit odborné učebny pro výuku cizích jazyků, práce s digitálními technologiemi, přírodní vědy, technické a řemeslné obory</w:t>
            </w:r>
          </w:p>
          <w:p w:rsidR="00DC707B" w:rsidRPr="00126699" w:rsidRDefault="00DC707B" w:rsidP="00246A0B">
            <w:pPr>
              <w:pStyle w:val="Odstavecseseznamem"/>
              <w:numPr>
                <w:ilvl w:val="0"/>
                <w:numId w:val="6"/>
              </w:numPr>
              <w:spacing w:after="0" w:line="240" w:lineRule="auto"/>
              <w:ind w:left="214" w:hanging="218"/>
              <w:rPr>
                <w:rFonts w:eastAsia="Times New Roman" w:cs="Arial"/>
                <w:sz w:val="16"/>
                <w:szCs w:val="16"/>
                <w:lang w:eastAsia="cs-CZ"/>
              </w:rPr>
            </w:pPr>
            <w:r w:rsidRPr="00B3527B">
              <w:rPr>
                <w:rFonts w:eastAsia="Times New Roman" w:cs="Arial"/>
                <w:sz w:val="16"/>
                <w:szCs w:val="16"/>
                <w:lang w:eastAsia="cs-CZ"/>
              </w:rPr>
              <w:t>Pro potřeby výzev IROP byl vytvořen Standard konektivity pro SŠ i pro ZŠ</w:t>
            </w:r>
          </w:p>
        </w:tc>
        <w:tc>
          <w:tcPr>
            <w:tcW w:w="1275" w:type="dxa"/>
            <w:tcBorders>
              <w:top w:val="nil"/>
              <w:left w:val="nil"/>
              <w:bottom w:val="single" w:sz="4" w:space="0" w:color="auto"/>
              <w:right w:val="single" w:sz="4" w:space="0" w:color="auto"/>
            </w:tcBorders>
            <w:shd w:val="clear" w:color="auto" w:fill="auto"/>
            <w:hideMark/>
          </w:tcPr>
          <w:p w:rsidR="00DC707B" w:rsidRDefault="00C76AE2"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lastRenderedPageBreak/>
              <w:t>31.12.2019</w:t>
            </w:r>
            <w:proofErr w:type="gramEnd"/>
            <w:r>
              <w:rPr>
                <w:rFonts w:eastAsia="Times New Roman" w:cs="Arial"/>
                <w:sz w:val="16"/>
                <w:szCs w:val="16"/>
                <w:lang w:eastAsia="cs-CZ"/>
              </w:rPr>
              <w:t>, průběžně</w:t>
            </w:r>
          </w:p>
          <w:p w:rsidR="00902257" w:rsidRPr="00902257" w:rsidRDefault="00902257" w:rsidP="0045041A">
            <w:pPr>
              <w:spacing w:after="0" w:line="240" w:lineRule="auto"/>
              <w:jc w:val="center"/>
              <w:rPr>
                <w:rFonts w:eastAsia="Times New Roman" w:cs="Arial"/>
                <w:sz w:val="18"/>
                <w:szCs w:val="16"/>
                <w:lang w:eastAsia="cs-CZ"/>
              </w:rPr>
            </w:pPr>
          </w:p>
        </w:tc>
        <w:tc>
          <w:tcPr>
            <w:tcW w:w="2835" w:type="dxa"/>
            <w:tcBorders>
              <w:top w:val="nil"/>
              <w:left w:val="nil"/>
              <w:bottom w:val="single" w:sz="4" w:space="0" w:color="auto"/>
              <w:right w:val="single" w:sz="4" w:space="0" w:color="auto"/>
            </w:tcBorders>
            <w:shd w:val="clear" w:color="auto" w:fill="auto"/>
            <w:hideMark/>
          </w:tcPr>
          <w:p w:rsidR="00DC707B" w:rsidRPr="00044A2B" w:rsidRDefault="00DC707B" w:rsidP="00C76AE2">
            <w:pPr>
              <w:spacing w:after="0" w:line="240" w:lineRule="auto"/>
              <w:rPr>
                <w:rFonts w:eastAsia="Times New Roman" w:cs="Arial"/>
                <w:sz w:val="16"/>
                <w:szCs w:val="16"/>
                <w:lang w:eastAsia="cs-CZ"/>
              </w:rPr>
            </w:pPr>
          </w:p>
        </w:tc>
      </w:tr>
      <w:tr w:rsidR="00DC707B" w:rsidRPr="00044A2B" w:rsidTr="00DC707B">
        <w:trPr>
          <w:trHeight w:val="675"/>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lastRenderedPageBreak/>
              <w:t>4.2 Podpora připojení k internetu</w:t>
            </w:r>
          </w:p>
        </w:tc>
        <w:tc>
          <w:tcPr>
            <w:tcW w:w="3027"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4.2.1 Průzkum nabídky, stavu připojení a potřeb škol a školských zařízení ve spolupráci s kraji a jinými resorty.</w:t>
            </w:r>
          </w:p>
        </w:tc>
        <w:tc>
          <w:tcPr>
            <w:tcW w:w="992"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DC707B" w:rsidRPr="007B17FF" w:rsidRDefault="00126699" w:rsidP="004C36FF">
            <w:pPr>
              <w:spacing w:after="0" w:line="240" w:lineRule="auto"/>
              <w:rPr>
                <w:rFonts w:eastAsia="Times New Roman" w:cs="Arial"/>
                <w:b/>
                <w:sz w:val="16"/>
                <w:szCs w:val="16"/>
                <w:lang w:eastAsia="cs-CZ"/>
              </w:rPr>
            </w:pPr>
            <w:r>
              <w:rPr>
                <w:rFonts w:eastAsia="Times New Roman" w:cs="Arial"/>
                <w:b/>
                <w:sz w:val="16"/>
                <w:szCs w:val="16"/>
                <w:lang w:eastAsia="cs-CZ"/>
              </w:rPr>
              <w:t>Významný p</w:t>
            </w:r>
            <w:r w:rsidR="00DC707B" w:rsidRPr="007B17FF">
              <w:rPr>
                <w:rFonts w:eastAsia="Times New Roman" w:cs="Arial"/>
                <w:b/>
                <w:sz w:val="16"/>
                <w:szCs w:val="16"/>
                <w:lang w:eastAsia="cs-CZ"/>
              </w:rPr>
              <w:t>okrok</w:t>
            </w:r>
          </w:p>
          <w:p w:rsidR="00DC707B" w:rsidRPr="00044A2B" w:rsidRDefault="00DC707B" w:rsidP="004C36FF">
            <w:pPr>
              <w:spacing w:after="0" w:line="240" w:lineRule="auto"/>
              <w:rPr>
                <w:rFonts w:eastAsia="Times New Roman" w:cs="Arial"/>
                <w:sz w:val="16"/>
                <w:szCs w:val="16"/>
                <w:lang w:eastAsia="cs-CZ"/>
              </w:rPr>
            </w:pPr>
            <w:r w:rsidRPr="00171F62">
              <w:rPr>
                <w:rFonts w:eastAsia="Times New Roman" w:cs="Arial"/>
                <w:sz w:val="16"/>
                <w:szCs w:val="16"/>
                <w:lang w:eastAsia="cs-CZ"/>
              </w:rPr>
              <w:t>Řešeno v rámci tematického šetření ČŠI k rozvoji informační gramotnosti žáků – prosinec 2016</w:t>
            </w:r>
            <w:r>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31.12.2017</w:t>
            </w:r>
            <w:proofErr w:type="gramEnd"/>
          </w:p>
        </w:tc>
        <w:tc>
          <w:tcPr>
            <w:tcW w:w="2835"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w:t>
            </w:r>
          </w:p>
        </w:tc>
      </w:tr>
      <w:tr w:rsidR="00DC707B" w:rsidRPr="00044A2B" w:rsidTr="0044770C">
        <w:trPr>
          <w:trHeight w:val="738"/>
        </w:trPr>
        <w:tc>
          <w:tcPr>
            <w:tcW w:w="1226" w:type="dxa"/>
            <w:vMerge/>
            <w:tcBorders>
              <w:top w:val="nil"/>
              <w:left w:val="single" w:sz="4" w:space="0" w:color="auto"/>
              <w:bottom w:val="single" w:sz="4" w:space="0" w:color="auto"/>
              <w:right w:val="single" w:sz="4" w:space="0" w:color="auto"/>
            </w:tcBorders>
            <w:vAlign w:val="center"/>
            <w:hideMark/>
          </w:tcPr>
          <w:p w:rsidR="00DC707B" w:rsidRPr="00044A2B" w:rsidRDefault="00DC707B"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4.2.2 Podpořit ve spolupráci s kraji budování sítí (zejm. v bílých a šedých oblastech), ke kterým mohou být vysokorychlostně připojeny i školy a školská zařízení.</w:t>
            </w:r>
          </w:p>
        </w:tc>
        <w:tc>
          <w:tcPr>
            <w:tcW w:w="992"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 MK, MMR, MPO, ČTÚ</w:t>
            </w:r>
          </w:p>
        </w:tc>
        <w:tc>
          <w:tcPr>
            <w:tcW w:w="5954" w:type="dxa"/>
            <w:tcBorders>
              <w:top w:val="nil"/>
              <w:left w:val="nil"/>
              <w:bottom w:val="single" w:sz="4" w:space="0" w:color="auto"/>
              <w:right w:val="single" w:sz="4" w:space="0" w:color="auto"/>
            </w:tcBorders>
            <w:shd w:val="clear" w:color="auto" w:fill="auto"/>
            <w:hideMark/>
          </w:tcPr>
          <w:p w:rsidR="00DC707B" w:rsidRPr="00505A00" w:rsidRDefault="00DC707B" w:rsidP="0045041A">
            <w:pPr>
              <w:spacing w:after="0" w:line="240" w:lineRule="auto"/>
              <w:rPr>
                <w:rFonts w:eastAsia="Times New Roman" w:cs="Arial"/>
                <w:b/>
                <w:sz w:val="16"/>
                <w:szCs w:val="16"/>
                <w:lang w:eastAsia="cs-CZ"/>
              </w:rPr>
            </w:pPr>
            <w:r w:rsidRPr="00505A00">
              <w:rPr>
                <w:rFonts w:eastAsia="Times New Roman" w:cs="Arial"/>
                <w:b/>
                <w:sz w:val="16"/>
                <w:szCs w:val="16"/>
                <w:lang w:eastAsia="cs-CZ"/>
              </w:rPr>
              <w:t>Pokrok</w:t>
            </w:r>
          </w:p>
          <w:p w:rsidR="00DC707B" w:rsidRPr="00505A00" w:rsidRDefault="00DC707B" w:rsidP="00171F62">
            <w:pPr>
              <w:spacing w:after="0" w:line="240" w:lineRule="auto"/>
              <w:rPr>
                <w:rFonts w:eastAsia="Times New Roman" w:cs="Arial"/>
                <w:sz w:val="16"/>
                <w:szCs w:val="16"/>
                <w:lang w:eastAsia="cs-CZ"/>
              </w:rPr>
            </w:pPr>
            <w:r w:rsidRPr="00505A00">
              <w:rPr>
                <w:rFonts w:eastAsia="Times New Roman" w:cs="Arial"/>
                <w:sz w:val="16"/>
                <w:szCs w:val="16"/>
                <w:lang w:eastAsia="cs-CZ"/>
              </w:rPr>
              <w:t>Vládní program „Národní plán rozvoje sítí nové generace“ (MPO) stanoví, že vysokorychlostním internetem budou do roku 2022 pokryty oblasti s nedostatečným porytím internetem (realizuje MPO, OP PIK, optika, minimální standard připojení 100Mb/s, budováno na komerční bázi leden 2017 - 2023).</w:t>
            </w:r>
          </w:p>
          <w:p w:rsidR="00DC707B" w:rsidRPr="00044A2B" w:rsidRDefault="00DC707B" w:rsidP="00171F62">
            <w:pPr>
              <w:spacing w:after="0" w:line="240" w:lineRule="auto"/>
              <w:rPr>
                <w:rFonts w:eastAsia="Times New Roman" w:cs="Arial"/>
                <w:sz w:val="16"/>
                <w:szCs w:val="16"/>
                <w:lang w:eastAsia="cs-CZ"/>
              </w:rPr>
            </w:pPr>
            <w:r w:rsidRPr="00505A00">
              <w:rPr>
                <w:rFonts w:eastAsia="Times New Roman" w:cs="Arial"/>
                <w:sz w:val="16"/>
                <w:szCs w:val="16"/>
                <w:lang w:eastAsia="cs-CZ"/>
              </w:rPr>
              <w:t>Proběhla jednání se zástupci Národní agentury pro komunikační a informační technologie o možnostech připojení škol, připravuje se Memorandum o spolupráci NAKIT (MV) – MŠMT v oblasti předávání informací o konektivitě škol.</w:t>
            </w:r>
          </w:p>
        </w:tc>
        <w:tc>
          <w:tcPr>
            <w:tcW w:w="1275"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jc w:val="center"/>
              <w:rPr>
                <w:rFonts w:eastAsia="Times New Roman" w:cs="Arial"/>
                <w:sz w:val="16"/>
                <w:szCs w:val="16"/>
                <w:lang w:eastAsia="cs-CZ"/>
              </w:rPr>
            </w:pPr>
            <w:proofErr w:type="gramStart"/>
            <w:r w:rsidRPr="00044A2B">
              <w:rPr>
                <w:rFonts w:eastAsia="Times New Roman" w:cs="Arial"/>
                <w:sz w:val="16"/>
                <w:szCs w:val="16"/>
                <w:lang w:eastAsia="cs-CZ"/>
              </w:rPr>
              <w:t>31.12.2017</w:t>
            </w:r>
            <w:proofErr w:type="gramEnd"/>
          </w:p>
        </w:tc>
        <w:tc>
          <w:tcPr>
            <w:tcW w:w="2835" w:type="dxa"/>
            <w:tcBorders>
              <w:top w:val="nil"/>
              <w:left w:val="nil"/>
              <w:bottom w:val="single" w:sz="4" w:space="0" w:color="auto"/>
              <w:right w:val="single" w:sz="4" w:space="0" w:color="auto"/>
            </w:tcBorders>
            <w:shd w:val="clear" w:color="auto" w:fill="auto"/>
            <w:hideMark/>
          </w:tcPr>
          <w:p w:rsidR="00DC707B" w:rsidRPr="00044A2B" w:rsidRDefault="00DC707B" w:rsidP="00505A00">
            <w:pPr>
              <w:spacing w:after="0" w:line="240" w:lineRule="auto"/>
              <w:rPr>
                <w:rFonts w:eastAsia="Times New Roman" w:cs="Arial"/>
                <w:sz w:val="16"/>
                <w:szCs w:val="16"/>
                <w:lang w:eastAsia="cs-CZ"/>
              </w:rPr>
            </w:pPr>
            <w:r w:rsidRPr="00044A2B">
              <w:rPr>
                <w:rFonts w:eastAsia="Times New Roman" w:cs="Arial"/>
                <w:sz w:val="16"/>
                <w:szCs w:val="16"/>
                <w:lang w:eastAsia="cs-CZ"/>
              </w:rPr>
              <w:t> </w:t>
            </w:r>
            <w:r w:rsidR="00505A00">
              <w:rPr>
                <w:rFonts w:eastAsia="Times New Roman" w:cs="Arial"/>
                <w:sz w:val="16"/>
                <w:szCs w:val="16"/>
                <w:lang w:eastAsia="cs-CZ"/>
              </w:rPr>
              <w:t>Termín bude pravděpodobně nutné posunout kvůli termínům aktivit MPO.</w:t>
            </w:r>
          </w:p>
        </w:tc>
      </w:tr>
      <w:tr w:rsidR="00DC707B" w:rsidRPr="00044A2B" w:rsidTr="00DC707B">
        <w:trPr>
          <w:trHeight w:val="1125"/>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4.3 Podpora správy digitální infrastruktury ve školách</w:t>
            </w:r>
          </w:p>
        </w:tc>
        <w:tc>
          <w:tcPr>
            <w:tcW w:w="3027"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4.3.1 Nastavení způsobu (normativní či nákladové parametrizované řešení), jakým se budou vypočítávat nároky škol na financování správy jejich digitální infrastruktury.</w:t>
            </w:r>
          </w:p>
        </w:tc>
        <w:tc>
          <w:tcPr>
            <w:tcW w:w="992"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DC707B" w:rsidRPr="00505A00" w:rsidRDefault="00DC707B" w:rsidP="0045041A">
            <w:pPr>
              <w:spacing w:after="0" w:line="240" w:lineRule="auto"/>
              <w:rPr>
                <w:rFonts w:eastAsia="Times New Roman" w:cs="Arial"/>
                <w:b/>
                <w:sz w:val="16"/>
                <w:szCs w:val="16"/>
                <w:lang w:eastAsia="cs-CZ"/>
              </w:rPr>
            </w:pPr>
            <w:r w:rsidRPr="00505A00">
              <w:rPr>
                <w:rFonts w:eastAsia="Times New Roman" w:cs="Arial"/>
                <w:b/>
                <w:sz w:val="16"/>
                <w:szCs w:val="16"/>
                <w:lang w:eastAsia="cs-CZ"/>
              </w:rPr>
              <w:t>Omezený pokrok</w:t>
            </w:r>
          </w:p>
          <w:p w:rsidR="00DC707B" w:rsidRPr="00F851B6" w:rsidRDefault="00DC707B" w:rsidP="00171F62">
            <w:pPr>
              <w:spacing w:after="0" w:line="240" w:lineRule="auto"/>
              <w:rPr>
                <w:rFonts w:eastAsia="Times New Roman" w:cs="Arial"/>
                <w:sz w:val="16"/>
                <w:szCs w:val="16"/>
                <w:highlight w:val="yellow"/>
                <w:lang w:eastAsia="cs-CZ"/>
              </w:rPr>
            </w:pPr>
            <w:r w:rsidRPr="00505A00">
              <w:rPr>
                <w:rFonts w:eastAsia="Times New Roman" w:cs="Arial"/>
                <w:sz w:val="16"/>
                <w:szCs w:val="16"/>
                <w:lang w:eastAsia="cs-CZ"/>
              </w:rPr>
              <w:t xml:space="preserve">Reforma financování RGŠ nastavuje nový způsob financování škol </w:t>
            </w:r>
            <w:r w:rsidR="002144D7" w:rsidRPr="00505A00">
              <w:rPr>
                <w:rFonts w:eastAsia="Times New Roman" w:cs="Arial"/>
                <w:sz w:val="16"/>
                <w:szCs w:val="16"/>
                <w:lang w:eastAsia="cs-CZ"/>
              </w:rPr>
              <w:t xml:space="preserve">pedagogické a nepedagogické práce </w:t>
            </w:r>
            <w:r w:rsidRPr="00505A00">
              <w:rPr>
                <w:rFonts w:eastAsia="Times New Roman" w:cs="Arial"/>
                <w:sz w:val="16"/>
                <w:szCs w:val="16"/>
                <w:lang w:eastAsia="cs-CZ"/>
              </w:rPr>
              <w:t>a školských zařízení.</w:t>
            </w:r>
            <w:r w:rsidR="002144D7" w:rsidRPr="00505A00">
              <w:rPr>
                <w:rFonts w:eastAsia="Times New Roman" w:cs="Arial"/>
                <w:sz w:val="16"/>
                <w:szCs w:val="16"/>
                <w:lang w:eastAsia="cs-CZ"/>
              </w:rPr>
              <w:t xml:space="preserve"> V rámci reformy financování regionálního školství</w:t>
            </w:r>
            <w:r w:rsidRPr="00505A00">
              <w:rPr>
                <w:rFonts w:eastAsia="Times New Roman" w:cs="Arial"/>
                <w:sz w:val="16"/>
                <w:szCs w:val="16"/>
                <w:lang w:eastAsia="cs-CZ"/>
              </w:rPr>
              <w:t xml:space="preserve"> bude zahrnut i určitý počet úvazků na obslužný personál školy a školského zařízení V rámci těchto úvazků ředitel školy bude moci zaměstnat i správce sítě. </w:t>
            </w:r>
          </w:p>
        </w:tc>
        <w:tc>
          <w:tcPr>
            <w:tcW w:w="1275" w:type="dxa"/>
            <w:tcBorders>
              <w:top w:val="nil"/>
              <w:left w:val="nil"/>
              <w:bottom w:val="single" w:sz="4" w:space="0" w:color="auto"/>
              <w:right w:val="single" w:sz="4" w:space="0" w:color="auto"/>
            </w:tcBorders>
            <w:shd w:val="clear" w:color="auto" w:fill="auto"/>
            <w:hideMark/>
          </w:tcPr>
          <w:p w:rsidR="00DC707B" w:rsidRDefault="00505A00"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w:t>
            </w:r>
            <w:r w:rsidR="00F851B6" w:rsidRPr="00505A00">
              <w:rPr>
                <w:rFonts w:eastAsia="Times New Roman" w:cs="Arial"/>
                <w:sz w:val="16"/>
                <w:szCs w:val="16"/>
                <w:lang w:eastAsia="cs-CZ"/>
              </w:rPr>
              <w:t>..2017</w:t>
            </w:r>
            <w:proofErr w:type="gramEnd"/>
          </w:p>
          <w:p w:rsidR="00902257" w:rsidRPr="00044A2B" w:rsidRDefault="00902257" w:rsidP="0045041A">
            <w:pPr>
              <w:spacing w:after="0" w:line="240" w:lineRule="auto"/>
              <w:jc w:val="center"/>
              <w:rPr>
                <w:rFonts w:eastAsia="Times New Roman" w:cs="Arial"/>
                <w:sz w:val="16"/>
                <w:szCs w:val="16"/>
                <w:lang w:eastAsia="cs-CZ"/>
              </w:rPr>
            </w:pPr>
            <w:r>
              <w:rPr>
                <w:rFonts w:eastAsia="Times New Roman" w:cs="Arial"/>
                <w:sz w:val="16"/>
                <w:szCs w:val="16"/>
                <w:lang w:eastAsia="cs-CZ"/>
              </w:rPr>
              <w:t>Realizace reformy financování od 1. 1. 2019)</w:t>
            </w:r>
          </w:p>
        </w:tc>
        <w:tc>
          <w:tcPr>
            <w:tcW w:w="2835" w:type="dxa"/>
            <w:tcBorders>
              <w:top w:val="nil"/>
              <w:left w:val="nil"/>
              <w:bottom w:val="single" w:sz="4" w:space="0" w:color="auto"/>
              <w:right w:val="single" w:sz="4" w:space="0" w:color="auto"/>
            </w:tcBorders>
            <w:shd w:val="clear" w:color="auto" w:fill="auto"/>
            <w:hideMark/>
          </w:tcPr>
          <w:p w:rsidR="00DC707B" w:rsidRPr="00044A2B" w:rsidRDefault="00DC707B" w:rsidP="0021577A">
            <w:pPr>
              <w:spacing w:after="0" w:line="240" w:lineRule="auto"/>
              <w:rPr>
                <w:rFonts w:eastAsia="Times New Roman" w:cs="Arial"/>
                <w:sz w:val="16"/>
                <w:szCs w:val="16"/>
                <w:lang w:eastAsia="cs-CZ"/>
              </w:rPr>
            </w:pPr>
          </w:p>
        </w:tc>
      </w:tr>
      <w:tr w:rsidR="00DC707B" w:rsidRPr="00044A2B" w:rsidTr="00DC707B">
        <w:trPr>
          <w:trHeight w:val="1698"/>
        </w:trPr>
        <w:tc>
          <w:tcPr>
            <w:tcW w:w="1226" w:type="dxa"/>
            <w:vMerge/>
            <w:tcBorders>
              <w:top w:val="nil"/>
              <w:left w:val="single" w:sz="4" w:space="0" w:color="auto"/>
              <w:bottom w:val="single" w:sz="4" w:space="0" w:color="auto"/>
              <w:right w:val="single" w:sz="4" w:space="0" w:color="auto"/>
            </w:tcBorders>
            <w:vAlign w:val="center"/>
            <w:hideMark/>
          </w:tcPr>
          <w:p w:rsidR="00DC707B" w:rsidRPr="00044A2B" w:rsidRDefault="00DC707B"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 xml:space="preserve">4.3.2 </w:t>
            </w:r>
            <w:r w:rsidR="00F851B6" w:rsidRPr="00044A2B">
              <w:rPr>
                <w:rFonts w:eastAsia="Times New Roman" w:cs="Arial"/>
                <w:sz w:val="16"/>
                <w:szCs w:val="16"/>
                <w:lang w:eastAsia="cs-CZ"/>
              </w:rPr>
              <w:t>Financování správy digitální infrastruktury ve školách bude integrováno do reformy financování regionálního školství.</w:t>
            </w:r>
          </w:p>
        </w:tc>
        <w:tc>
          <w:tcPr>
            <w:tcW w:w="992" w:type="dxa"/>
            <w:tcBorders>
              <w:top w:val="nil"/>
              <w:left w:val="nil"/>
              <w:bottom w:val="single" w:sz="4" w:space="0" w:color="auto"/>
              <w:right w:val="single" w:sz="4" w:space="0" w:color="auto"/>
            </w:tcBorders>
            <w:shd w:val="clear" w:color="auto" w:fill="auto"/>
            <w:hideMark/>
          </w:tcPr>
          <w:p w:rsidR="00DC707B" w:rsidRPr="00044A2B" w:rsidRDefault="00DC707B" w:rsidP="0045041A">
            <w:pPr>
              <w:spacing w:after="0" w:line="240" w:lineRule="auto"/>
              <w:rPr>
                <w:rFonts w:eastAsia="Times New Roman" w:cs="Arial"/>
                <w:sz w:val="16"/>
                <w:szCs w:val="16"/>
                <w:lang w:eastAsia="cs-CZ"/>
              </w:rPr>
            </w:pPr>
            <w:r w:rsidRPr="00044A2B">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DC707B" w:rsidRPr="00505A00" w:rsidRDefault="00505A00" w:rsidP="0045041A">
            <w:pPr>
              <w:spacing w:after="0" w:line="240" w:lineRule="auto"/>
              <w:rPr>
                <w:rFonts w:eastAsia="Times New Roman" w:cs="Arial"/>
                <w:b/>
                <w:sz w:val="16"/>
                <w:szCs w:val="16"/>
                <w:lang w:eastAsia="cs-CZ"/>
              </w:rPr>
            </w:pPr>
            <w:r>
              <w:rPr>
                <w:rFonts w:eastAsia="Times New Roman" w:cs="Arial"/>
                <w:b/>
                <w:sz w:val="16"/>
                <w:szCs w:val="16"/>
                <w:lang w:eastAsia="cs-CZ"/>
              </w:rPr>
              <w:t>P</w:t>
            </w:r>
            <w:r w:rsidR="00DC707B" w:rsidRPr="00505A00">
              <w:rPr>
                <w:rFonts w:eastAsia="Times New Roman" w:cs="Arial"/>
                <w:b/>
                <w:sz w:val="16"/>
                <w:szCs w:val="16"/>
                <w:lang w:eastAsia="cs-CZ"/>
              </w:rPr>
              <w:t>okrok</w:t>
            </w:r>
          </w:p>
          <w:p w:rsidR="00CA3F53" w:rsidRPr="00505A00" w:rsidRDefault="00F851B6" w:rsidP="00ED1F23">
            <w:pPr>
              <w:spacing w:after="0" w:line="240" w:lineRule="auto"/>
              <w:rPr>
                <w:rFonts w:eastAsia="Times New Roman" w:cs="Arial"/>
                <w:sz w:val="16"/>
                <w:szCs w:val="16"/>
                <w:lang w:eastAsia="cs-CZ"/>
              </w:rPr>
            </w:pPr>
            <w:r w:rsidRPr="00505A00">
              <w:rPr>
                <w:rFonts w:eastAsia="Times New Roman" w:cs="Arial"/>
                <w:sz w:val="16"/>
                <w:szCs w:val="16"/>
                <w:lang w:eastAsia="cs-CZ"/>
              </w:rPr>
              <w:t>Reforma financování přináší nový způsob financování pedagogické a nepedagogické práce. U nepedagogických pracovníků bude určovat počet úvazků nepedagogických pracovníků v závislost na velikosti školy. Bude záležet na řediteli školy, pro které profese nepedagogické pracovníky se v rámci financovaných úvazků rozhodne.</w:t>
            </w:r>
          </w:p>
          <w:p w:rsidR="00CA3F53" w:rsidRPr="00F851B6" w:rsidRDefault="00CA3F53" w:rsidP="00ED1F23">
            <w:pPr>
              <w:spacing w:after="0" w:line="240" w:lineRule="auto"/>
              <w:rPr>
                <w:rFonts w:eastAsia="Times New Roman" w:cs="Arial"/>
                <w:sz w:val="16"/>
                <w:szCs w:val="16"/>
                <w:highlight w:val="yellow"/>
                <w:lang w:eastAsia="cs-CZ"/>
              </w:rPr>
            </w:pPr>
          </w:p>
        </w:tc>
        <w:tc>
          <w:tcPr>
            <w:tcW w:w="1275" w:type="dxa"/>
            <w:tcBorders>
              <w:top w:val="nil"/>
              <w:left w:val="nil"/>
              <w:bottom w:val="single" w:sz="4" w:space="0" w:color="auto"/>
              <w:right w:val="single" w:sz="4" w:space="0" w:color="auto"/>
            </w:tcBorders>
            <w:shd w:val="clear" w:color="auto" w:fill="auto"/>
            <w:hideMark/>
          </w:tcPr>
          <w:p w:rsidR="00DC707B" w:rsidRDefault="00505A00"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w:t>
            </w:r>
            <w:r w:rsidR="00F851B6" w:rsidRPr="00505A00">
              <w:rPr>
                <w:rFonts w:eastAsia="Times New Roman" w:cs="Arial"/>
                <w:sz w:val="16"/>
                <w:szCs w:val="16"/>
                <w:lang w:eastAsia="cs-CZ"/>
              </w:rPr>
              <w:t>..2017</w:t>
            </w:r>
            <w:proofErr w:type="gramEnd"/>
          </w:p>
          <w:p w:rsidR="00902257" w:rsidRPr="00044A2B" w:rsidRDefault="00902257" w:rsidP="0045041A">
            <w:pPr>
              <w:spacing w:after="0" w:line="240" w:lineRule="auto"/>
              <w:jc w:val="center"/>
              <w:rPr>
                <w:rFonts w:eastAsia="Times New Roman" w:cs="Arial"/>
                <w:sz w:val="16"/>
                <w:szCs w:val="16"/>
                <w:lang w:eastAsia="cs-CZ"/>
              </w:rPr>
            </w:pPr>
            <w:r>
              <w:rPr>
                <w:rFonts w:eastAsia="Times New Roman" w:cs="Arial"/>
                <w:sz w:val="16"/>
                <w:szCs w:val="16"/>
                <w:lang w:eastAsia="cs-CZ"/>
              </w:rPr>
              <w:t>(realizace reformy od 1. 1. 2019)</w:t>
            </w:r>
            <w:bookmarkStart w:id="7" w:name="_GoBack"/>
            <w:bookmarkEnd w:id="7"/>
          </w:p>
        </w:tc>
        <w:tc>
          <w:tcPr>
            <w:tcW w:w="2835" w:type="dxa"/>
            <w:tcBorders>
              <w:top w:val="nil"/>
              <w:left w:val="nil"/>
              <w:bottom w:val="single" w:sz="4" w:space="0" w:color="auto"/>
              <w:right w:val="single" w:sz="4" w:space="0" w:color="auto"/>
            </w:tcBorders>
            <w:shd w:val="clear" w:color="auto" w:fill="auto"/>
            <w:hideMark/>
          </w:tcPr>
          <w:p w:rsidR="00F851B6" w:rsidRPr="00044A2B" w:rsidRDefault="00F851B6" w:rsidP="00F851B6">
            <w:pPr>
              <w:spacing w:after="0" w:line="240" w:lineRule="auto"/>
              <w:rPr>
                <w:rFonts w:eastAsia="Times New Roman" w:cs="Arial"/>
                <w:sz w:val="16"/>
                <w:szCs w:val="16"/>
                <w:lang w:eastAsia="cs-CZ"/>
              </w:rPr>
            </w:pPr>
          </w:p>
          <w:p w:rsidR="00DC707B" w:rsidRPr="00044A2B" w:rsidRDefault="00DC707B" w:rsidP="00B81F09">
            <w:pPr>
              <w:spacing w:after="0" w:line="240" w:lineRule="auto"/>
              <w:rPr>
                <w:rFonts w:eastAsia="Times New Roman" w:cs="Arial"/>
                <w:sz w:val="16"/>
                <w:szCs w:val="16"/>
                <w:lang w:eastAsia="cs-CZ"/>
              </w:rPr>
            </w:pPr>
          </w:p>
        </w:tc>
      </w:tr>
    </w:tbl>
    <w:p w:rsidR="002048A9" w:rsidRPr="00EA061B" w:rsidRDefault="002048A9" w:rsidP="00EA061B"/>
    <w:p w:rsidR="007C3CF7" w:rsidRDefault="007C3CF7" w:rsidP="00DC707B">
      <w:pPr>
        <w:pStyle w:val="Nadpis2"/>
        <w:ind w:left="1080"/>
      </w:pPr>
      <w:bookmarkStart w:id="8" w:name="_Toc469572108"/>
      <w:r>
        <w:t>Podpořit inovační postupy, sledování, hodnocení a šíření jejich výsledků.</w:t>
      </w:r>
      <w:bookmarkEnd w:id="8"/>
    </w:p>
    <w:p w:rsidR="009E0505" w:rsidRPr="009E0505" w:rsidRDefault="009E0505" w:rsidP="009E0505">
      <w:pPr>
        <w:pStyle w:val="Nadpis3"/>
      </w:pPr>
      <w:r>
        <w:t>Indikátory úspěchu</w:t>
      </w:r>
    </w:p>
    <w:tbl>
      <w:tblPr>
        <w:tblStyle w:val="Mkatabulky"/>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gridCol w:w="11544"/>
      </w:tblGrid>
      <w:tr w:rsidR="009E0505" w:rsidRPr="009E0505" w:rsidTr="009E0505">
        <w:trPr>
          <w:trHeight w:val="509"/>
        </w:trPr>
        <w:tc>
          <w:tcPr>
            <w:tcW w:w="3619" w:type="dxa"/>
            <w:hideMark/>
          </w:tcPr>
          <w:p w:rsidR="009E0505" w:rsidRPr="009E0505" w:rsidRDefault="009E0505" w:rsidP="009E0505">
            <w:pPr>
              <w:jc w:val="left"/>
            </w:pPr>
            <w:r w:rsidRPr="009E0505">
              <w:t xml:space="preserve">5.1 Podpora vývoje inovací a spolupráce veřejného, soukromého a </w:t>
            </w:r>
            <w:r w:rsidRPr="009E0505">
              <w:lastRenderedPageBreak/>
              <w:t>neziskového sektoru při tvorbě a šíření inovací ve vzdělávání</w:t>
            </w:r>
          </w:p>
        </w:tc>
        <w:tc>
          <w:tcPr>
            <w:tcW w:w="11544" w:type="dxa"/>
            <w:hideMark/>
          </w:tcPr>
          <w:p w:rsidR="009E0505" w:rsidRPr="009E0505" w:rsidRDefault="009E0505" w:rsidP="009E0505">
            <w:r w:rsidRPr="009E0505">
              <w:lastRenderedPageBreak/>
              <w:t xml:space="preserve">Existuje funkční platforma, resp. program partnerské spolupráce – obdoba Grand </w:t>
            </w:r>
            <w:proofErr w:type="spellStart"/>
            <w:r w:rsidRPr="009E0505">
              <w:t>Coalition</w:t>
            </w:r>
            <w:proofErr w:type="spellEnd"/>
            <w:r w:rsidRPr="009E0505">
              <w:t xml:space="preserve"> </w:t>
            </w:r>
            <w:proofErr w:type="spellStart"/>
            <w:r w:rsidRPr="009E0505">
              <w:t>for</w:t>
            </w:r>
            <w:proofErr w:type="spellEnd"/>
            <w:r w:rsidRPr="009E0505">
              <w:t xml:space="preserve"> Digital </w:t>
            </w:r>
            <w:proofErr w:type="spellStart"/>
            <w:r w:rsidRPr="009E0505">
              <w:t>Jobs</w:t>
            </w:r>
            <w:proofErr w:type="spellEnd"/>
            <w:r w:rsidRPr="009E0505">
              <w:t xml:space="preserve">. Je využívána pro setkávání zástupců vzdělávání a trhu práce, pro výměnu zkušeností mezi veřejným, soukromým a neziskovým sektorem v oblasti </w:t>
            </w:r>
            <w:r w:rsidRPr="009E0505">
              <w:lastRenderedPageBreak/>
              <w:t>rozvoje digitální gramotnosti občanů. Veřejně jsou k dispozici inovativní řešení a výsledky projektů. Získané zkušenosti zapojených subjektů jsou dále šířeny, vznikají nové sítě a propojení.</w:t>
            </w:r>
          </w:p>
        </w:tc>
      </w:tr>
      <w:tr w:rsidR="009E0505" w:rsidRPr="009E0505" w:rsidTr="009E0505">
        <w:trPr>
          <w:trHeight w:val="1350"/>
        </w:trPr>
        <w:tc>
          <w:tcPr>
            <w:tcW w:w="3619" w:type="dxa"/>
            <w:hideMark/>
          </w:tcPr>
          <w:p w:rsidR="009E0505" w:rsidRPr="009E0505" w:rsidRDefault="009E0505" w:rsidP="009E0505">
            <w:pPr>
              <w:jc w:val="left"/>
            </w:pPr>
            <w:r w:rsidRPr="009E0505">
              <w:lastRenderedPageBreak/>
              <w:t>5.2 Podpora pedagogického výzkumu v oblasti využívání digitálních technologií</w:t>
            </w:r>
          </w:p>
        </w:tc>
        <w:tc>
          <w:tcPr>
            <w:tcW w:w="11544" w:type="dxa"/>
            <w:hideMark/>
          </w:tcPr>
          <w:p w:rsidR="009E0505" w:rsidRPr="009E0505" w:rsidRDefault="009E0505" w:rsidP="009E0505">
            <w:r w:rsidRPr="009E0505">
              <w:t>Jsou vytvořeny podmínky (systémové, finanční, organizační, evaluační) pro rozvoj výzkumu v oblasti využívání digitálních technologií ve vzdělávání, který bude začleněn do celostátního systému hodnocení výzkumu a vývoje. Je vytvořen systém pro zadávání výzkumných zakázek. Současně jsou vytvořeny podmínky pro (národní i mezinárodní) spolupráci výzkumných institucí. Jsou k dispozici výsledky výzkumů v oblasti didaktického využívání digitálních technologií (i ve vzdělávání a učení mimo školu) a současně probíhají další výzkumné projekty.</w:t>
            </w:r>
          </w:p>
        </w:tc>
      </w:tr>
      <w:tr w:rsidR="009E0505" w:rsidRPr="009E0505" w:rsidTr="009E0505">
        <w:trPr>
          <w:trHeight w:val="1800"/>
        </w:trPr>
        <w:tc>
          <w:tcPr>
            <w:tcW w:w="3619" w:type="dxa"/>
            <w:hideMark/>
          </w:tcPr>
          <w:p w:rsidR="009E0505" w:rsidRPr="009E0505" w:rsidRDefault="009E0505" w:rsidP="009E0505">
            <w:pPr>
              <w:jc w:val="left"/>
            </w:pPr>
            <w:r w:rsidRPr="009E0505">
              <w:t>5.3 Podpora pravidelného sběru dat, monitoringu stavu a využívání digitálních technologií ve vzdělávání</w:t>
            </w:r>
          </w:p>
        </w:tc>
        <w:tc>
          <w:tcPr>
            <w:tcW w:w="11544" w:type="dxa"/>
            <w:hideMark/>
          </w:tcPr>
          <w:p w:rsidR="009E0505" w:rsidRPr="009E0505" w:rsidRDefault="009E0505" w:rsidP="009E0505">
            <w:r w:rsidRPr="009E0505">
              <w:t>Jsou sledovány podmínky, průběh a výsledky integrace digitálních technologií do výuky a podmínky, průběh a výsledky rozvoje digitální gramotnosti a informatického myšlení žáků. Výsledky ve formě zpráv (pravidelných, tematicky zaměřených atp.) jsou zveřejňovány, a to včetně podrobných (anonymizovaných) získaných dat, která je možné dále strojově zpracovávat (podpora analýz a interpretací)42. Rozšíření poznatkové základny představuje pouze minimální nárůst administrativy pro školy a školská zařízení.</w:t>
            </w:r>
          </w:p>
        </w:tc>
      </w:tr>
      <w:tr w:rsidR="009E0505" w:rsidRPr="009E0505" w:rsidTr="009E0505">
        <w:trPr>
          <w:trHeight w:val="2148"/>
        </w:trPr>
        <w:tc>
          <w:tcPr>
            <w:tcW w:w="3619" w:type="dxa"/>
            <w:hideMark/>
          </w:tcPr>
          <w:p w:rsidR="009E0505" w:rsidRPr="009E0505" w:rsidRDefault="009E0505" w:rsidP="009E0505">
            <w:pPr>
              <w:jc w:val="left"/>
            </w:pPr>
            <w:r w:rsidRPr="009E0505">
              <w:t>5.4 Zlepšení informační a poznatkové základny v oblasti využívání DT, rozvíjení DG a IM</w:t>
            </w:r>
          </w:p>
        </w:tc>
        <w:tc>
          <w:tcPr>
            <w:tcW w:w="11544" w:type="dxa"/>
            <w:hideMark/>
          </w:tcPr>
          <w:p w:rsidR="009E0505" w:rsidRPr="009E0505" w:rsidRDefault="009E0505" w:rsidP="009E0505">
            <w:r w:rsidRPr="009E0505">
              <w:t>Existuje (on-line) veřejná, volně dostupná databáze odborných poznatků (výzkumných zpráv) o využívání digitálních technologií ve vzdělávání, rozvíjení digitální gramotnosti a informatického myšlení (viz opatření 5.1, 5.2, 5.3). Výsledky těchto výzkumů jsou přebírány do této databáze automaticky a jejich předání je povinností řešitelů výzkumných projektů. Databáze bude využívat v co největší míře již existující zdroje dat či informace o výzkumech (např. RIV, ČSÚ), nebude znamenat zásadní nárůst administrativy ani pro školský terén, ani pro výzkumníky. Veškerá získaná data splňují podmínky dostatečné objektivity, tj. vysokou validitu i reliabilitu.</w:t>
            </w:r>
          </w:p>
        </w:tc>
      </w:tr>
      <w:tr w:rsidR="009E0505" w:rsidRPr="009E0505" w:rsidTr="009E0505">
        <w:trPr>
          <w:trHeight w:val="1125"/>
        </w:trPr>
        <w:tc>
          <w:tcPr>
            <w:tcW w:w="3619" w:type="dxa"/>
            <w:hideMark/>
          </w:tcPr>
          <w:p w:rsidR="009E0505" w:rsidRPr="009E0505" w:rsidRDefault="009E0505" w:rsidP="009E0505">
            <w:pPr>
              <w:jc w:val="left"/>
            </w:pPr>
            <w:r w:rsidRPr="009E0505">
              <w:t>5.5 Příprava podmínek pro využití velkých dat ve školství</w:t>
            </w:r>
          </w:p>
        </w:tc>
        <w:tc>
          <w:tcPr>
            <w:tcW w:w="11544" w:type="dxa"/>
            <w:hideMark/>
          </w:tcPr>
          <w:p w:rsidR="009E0505" w:rsidRPr="009E0505" w:rsidRDefault="009E0505" w:rsidP="009E0505">
            <w:r w:rsidRPr="009E0505">
              <w:t>Systémy podpory výuky dodržují pravidla pro využití velkých dat (big data) v oblasti školství a dodržují jako základní princip, že primárním vlastníkem dat je vždy ten, kdo je vytvořil. V praxi to znamená, že každý má právo sám se rozhodnout, která data jím vyprodukovaná v systému ponechá.</w:t>
            </w:r>
          </w:p>
        </w:tc>
      </w:tr>
    </w:tbl>
    <w:p w:rsidR="00453336" w:rsidRDefault="00453336" w:rsidP="001D73A5"/>
    <w:tbl>
      <w:tblPr>
        <w:tblW w:w="15309" w:type="dxa"/>
        <w:tblInd w:w="-5" w:type="dxa"/>
        <w:tblLayout w:type="fixed"/>
        <w:tblCellMar>
          <w:left w:w="70" w:type="dxa"/>
          <w:right w:w="70" w:type="dxa"/>
        </w:tblCellMar>
        <w:tblLook w:val="04A0" w:firstRow="1" w:lastRow="0" w:firstColumn="1" w:lastColumn="0" w:noHBand="0" w:noVBand="1"/>
      </w:tblPr>
      <w:tblGrid>
        <w:gridCol w:w="1226"/>
        <w:gridCol w:w="3027"/>
        <w:gridCol w:w="992"/>
        <w:gridCol w:w="5954"/>
        <w:gridCol w:w="1275"/>
        <w:gridCol w:w="2835"/>
      </w:tblGrid>
      <w:tr w:rsidR="007B17FF" w:rsidRPr="000E6580" w:rsidTr="000E6580">
        <w:trPr>
          <w:trHeight w:val="810"/>
          <w:tblHeader/>
        </w:trPr>
        <w:tc>
          <w:tcPr>
            <w:tcW w:w="1226" w:type="dxa"/>
            <w:tcBorders>
              <w:top w:val="single" w:sz="4" w:space="0" w:color="auto"/>
              <w:left w:val="single" w:sz="4" w:space="0" w:color="auto"/>
              <w:bottom w:val="single" w:sz="4" w:space="0" w:color="auto"/>
              <w:right w:val="single" w:sz="4" w:space="0" w:color="auto"/>
            </w:tcBorders>
            <w:shd w:val="clear" w:color="auto" w:fill="FF660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lastRenderedPageBreak/>
              <w:t>Opatření</w:t>
            </w:r>
          </w:p>
        </w:tc>
        <w:tc>
          <w:tcPr>
            <w:tcW w:w="3027" w:type="dxa"/>
            <w:tcBorders>
              <w:top w:val="single" w:sz="4" w:space="0" w:color="auto"/>
              <w:left w:val="nil"/>
              <w:bottom w:val="single" w:sz="4" w:space="0" w:color="auto"/>
              <w:right w:val="single" w:sz="4" w:space="0" w:color="auto"/>
            </w:tcBorders>
            <w:shd w:val="clear" w:color="auto" w:fill="FF660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Aktivity</w:t>
            </w:r>
          </w:p>
        </w:tc>
        <w:tc>
          <w:tcPr>
            <w:tcW w:w="992" w:type="dxa"/>
            <w:tcBorders>
              <w:top w:val="single" w:sz="4" w:space="0" w:color="auto"/>
              <w:left w:val="nil"/>
              <w:bottom w:val="single" w:sz="4" w:space="0" w:color="auto"/>
              <w:right w:val="single" w:sz="4" w:space="0" w:color="auto"/>
            </w:tcBorders>
            <w:shd w:val="clear" w:color="auto" w:fill="FF660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Návrh realizace v SDV</w:t>
            </w:r>
          </w:p>
        </w:tc>
        <w:tc>
          <w:tcPr>
            <w:tcW w:w="5954" w:type="dxa"/>
            <w:tcBorders>
              <w:top w:val="single" w:sz="4" w:space="0" w:color="auto"/>
              <w:left w:val="nil"/>
              <w:bottom w:val="single" w:sz="4" w:space="0" w:color="auto"/>
              <w:right w:val="single" w:sz="4" w:space="0" w:color="auto"/>
            </w:tcBorders>
            <w:shd w:val="clear" w:color="auto" w:fill="FF6600"/>
            <w:hideMark/>
          </w:tcPr>
          <w:p w:rsidR="007B17FF" w:rsidRPr="000E6580" w:rsidRDefault="000E6580"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Stav plnění, návrh na úpravy znění</w:t>
            </w:r>
          </w:p>
        </w:tc>
        <w:tc>
          <w:tcPr>
            <w:tcW w:w="1275" w:type="dxa"/>
            <w:tcBorders>
              <w:top w:val="single" w:sz="4" w:space="0" w:color="auto"/>
              <w:left w:val="nil"/>
              <w:bottom w:val="single" w:sz="4" w:space="0" w:color="auto"/>
              <w:right w:val="single" w:sz="4" w:space="0" w:color="auto"/>
            </w:tcBorders>
            <w:shd w:val="clear" w:color="auto" w:fill="FF660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Termín (SDV)</w:t>
            </w:r>
          </w:p>
        </w:tc>
        <w:tc>
          <w:tcPr>
            <w:tcW w:w="2835" w:type="dxa"/>
            <w:tcBorders>
              <w:top w:val="single" w:sz="4" w:space="0" w:color="auto"/>
              <w:left w:val="nil"/>
              <w:bottom w:val="single" w:sz="4" w:space="0" w:color="auto"/>
              <w:right w:val="single" w:sz="4" w:space="0" w:color="auto"/>
            </w:tcBorders>
            <w:shd w:val="clear" w:color="auto" w:fill="FF660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Změna termínu + důvod</w:t>
            </w:r>
          </w:p>
        </w:tc>
      </w:tr>
      <w:tr w:rsidR="007B17FF" w:rsidRPr="00E31FF5" w:rsidTr="0044770C">
        <w:trPr>
          <w:trHeight w:val="738"/>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5.1 Podpora vývoje inovací a spolupráce veřejného, soukromého a neziskového sektoru při tvorbě a šíření inovací ve vzdělávání</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5.1.1 Podpořit vznik inkubátorů inovací ve vzdělávání (</w:t>
            </w:r>
            <w:proofErr w:type="spellStart"/>
            <w:r w:rsidRPr="00E31FF5">
              <w:rPr>
                <w:rFonts w:eastAsia="Times New Roman" w:cs="Arial"/>
                <w:sz w:val="16"/>
                <w:szCs w:val="16"/>
                <w:lang w:eastAsia="cs-CZ"/>
              </w:rPr>
              <w:t>pre-seed</w:t>
            </w:r>
            <w:proofErr w:type="spellEnd"/>
            <w:r w:rsidRPr="00E31FF5">
              <w:rPr>
                <w:rFonts w:eastAsia="Times New Roman" w:cs="Arial"/>
                <w:sz w:val="16"/>
                <w:szCs w:val="16"/>
                <w:lang w:eastAsia="cs-CZ"/>
              </w:rPr>
              <w:t xml:space="preserve"> aktivity). Organizovat pobídky (soutěže, přehlídky atp.) odměňující ta nejlepší řešení.</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soukromý, veřejný a neziskový sektor</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F851B6" w:rsidRPr="00F851B6" w:rsidRDefault="00F851B6" w:rsidP="00F851B6">
            <w:pPr>
              <w:spacing w:after="0" w:line="240" w:lineRule="auto"/>
              <w:rPr>
                <w:rFonts w:eastAsia="Times New Roman" w:cs="Arial"/>
                <w:sz w:val="16"/>
                <w:szCs w:val="16"/>
                <w:lang w:eastAsia="cs-CZ"/>
              </w:rPr>
            </w:pPr>
            <w:r w:rsidRPr="00F851B6">
              <w:rPr>
                <w:rFonts w:eastAsia="Times New Roman" w:cs="Arial"/>
                <w:sz w:val="16"/>
                <w:szCs w:val="16"/>
                <w:lang w:eastAsia="cs-CZ"/>
              </w:rPr>
              <w:t>Pro žáky středních, často i základních škol – např.:</w:t>
            </w:r>
          </w:p>
          <w:p w:rsidR="00F851B6" w:rsidRPr="00F851B6" w:rsidRDefault="00F851B6" w:rsidP="00246A0B">
            <w:pPr>
              <w:pStyle w:val="Odstavecseseznamem"/>
              <w:numPr>
                <w:ilvl w:val="0"/>
                <w:numId w:val="18"/>
              </w:numPr>
              <w:spacing w:after="0" w:line="240" w:lineRule="auto"/>
              <w:rPr>
                <w:rFonts w:eastAsia="Times New Roman" w:cs="Arial"/>
                <w:sz w:val="16"/>
                <w:szCs w:val="16"/>
                <w:lang w:eastAsia="cs-CZ"/>
              </w:rPr>
            </w:pPr>
            <w:r w:rsidRPr="00F851B6">
              <w:rPr>
                <w:rFonts w:eastAsia="Times New Roman" w:cs="Arial"/>
                <w:sz w:val="16"/>
                <w:szCs w:val="16"/>
                <w:lang w:eastAsia="cs-CZ"/>
              </w:rPr>
              <w:t>SOČ, obor 12: „Tvorba učebních pomůcek, didaktická technologie“</w:t>
            </w:r>
          </w:p>
          <w:p w:rsidR="00F851B6" w:rsidRPr="00F851B6" w:rsidRDefault="00F851B6" w:rsidP="00246A0B">
            <w:pPr>
              <w:pStyle w:val="Odstavecseseznamem"/>
              <w:numPr>
                <w:ilvl w:val="0"/>
                <w:numId w:val="18"/>
              </w:numPr>
              <w:spacing w:after="0" w:line="240" w:lineRule="auto"/>
              <w:rPr>
                <w:rFonts w:eastAsia="Times New Roman" w:cs="Arial"/>
                <w:sz w:val="16"/>
                <w:szCs w:val="16"/>
                <w:lang w:eastAsia="cs-CZ"/>
              </w:rPr>
            </w:pPr>
            <w:r w:rsidRPr="00F851B6">
              <w:rPr>
                <w:rFonts w:eastAsia="Times New Roman" w:cs="Arial"/>
                <w:sz w:val="16"/>
                <w:szCs w:val="16"/>
                <w:lang w:eastAsia="cs-CZ"/>
              </w:rPr>
              <w:t>Celostátní soutěž pořádanou MŠMT ve spolupráci s NIDV „Vyšší programovací jazyky“, zde i kategorie pro žáky ZŠ, kategorie Kancelářské aplikace</w:t>
            </w:r>
          </w:p>
          <w:p w:rsidR="00F851B6" w:rsidRPr="00F851B6" w:rsidRDefault="00F851B6" w:rsidP="00246A0B">
            <w:pPr>
              <w:pStyle w:val="Odstavecseseznamem"/>
              <w:numPr>
                <w:ilvl w:val="0"/>
                <w:numId w:val="18"/>
              </w:numPr>
              <w:spacing w:after="0" w:line="240" w:lineRule="auto"/>
              <w:rPr>
                <w:rFonts w:eastAsia="Times New Roman" w:cs="Arial"/>
                <w:sz w:val="16"/>
                <w:szCs w:val="16"/>
                <w:lang w:eastAsia="cs-CZ"/>
              </w:rPr>
            </w:pPr>
            <w:r w:rsidRPr="00F851B6">
              <w:rPr>
                <w:rFonts w:eastAsia="Times New Roman" w:cs="Arial"/>
                <w:sz w:val="16"/>
                <w:szCs w:val="16"/>
                <w:lang w:eastAsia="cs-CZ"/>
              </w:rPr>
              <w:t xml:space="preserve">Microsoft pořádá soutěž „Office </w:t>
            </w:r>
            <w:proofErr w:type="spellStart"/>
            <w:r w:rsidRPr="00F851B6">
              <w:rPr>
                <w:rFonts w:eastAsia="Times New Roman" w:cs="Arial"/>
                <w:sz w:val="16"/>
                <w:szCs w:val="16"/>
                <w:lang w:eastAsia="cs-CZ"/>
              </w:rPr>
              <w:t>Arena</w:t>
            </w:r>
            <w:proofErr w:type="spellEnd"/>
            <w:r w:rsidRPr="00F851B6">
              <w:rPr>
                <w:rFonts w:eastAsia="Times New Roman" w:cs="Arial"/>
                <w:sz w:val="16"/>
                <w:szCs w:val="16"/>
                <w:lang w:eastAsia="cs-CZ"/>
              </w:rPr>
              <w:t>“</w:t>
            </w:r>
          </w:p>
          <w:p w:rsidR="00F851B6" w:rsidRPr="00F851B6" w:rsidRDefault="00F851B6" w:rsidP="00246A0B">
            <w:pPr>
              <w:pStyle w:val="Odstavecseseznamem"/>
              <w:numPr>
                <w:ilvl w:val="0"/>
                <w:numId w:val="18"/>
              </w:numPr>
              <w:spacing w:after="0" w:line="240" w:lineRule="auto"/>
              <w:rPr>
                <w:rFonts w:eastAsia="Times New Roman" w:cs="Arial"/>
                <w:sz w:val="16"/>
                <w:szCs w:val="16"/>
                <w:lang w:eastAsia="cs-CZ"/>
              </w:rPr>
            </w:pPr>
            <w:r w:rsidRPr="00F851B6">
              <w:rPr>
                <w:rFonts w:eastAsia="Times New Roman" w:cs="Arial"/>
                <w:sz w:val="16"/>
                <w:szCs w:val="16"/>
                <w:lang w:eastAsia="cs-CZ"/>
              </w:rPr>
              <w:t xml:space="preserve">Soutěže v programování „Student“, „TIB“, </w:t>
            </w:r>
            <w:proofErr w:type="spellStart"/>
            <w:r w:rsidRPr="00F851B6">
              <w:rPr>
                <w:rFonts w:eastAsia="Times New Roman" w:cs="Arial"/>
                <w:sz w:val="16"/>
                <w:szCs w:val="16"/>
                <w:lang w:eastAsia="cs-CZ"/>
              </w:rPr>
              <w:t>Scratch</w:t>
            </w:r>
            <w:proofErr w:type="spellEnd"/>
            <w:r w:rsidRPr="00F851B6">
              <w:rPr>
                <w:rFonts w:eastAsia="Times New Roman" w:cs="Arial"/>
                <w:sz w:val="16"/>
                <w:szCs w:val="16"/>
                <w:lang w:eastAsia="cs-CZ"/>
              </w:rPr>
              <w:t xml:space="preserve"> junior“. „</w:t>
            </w:r>
            <w:proofErr w:type="spellStart"/>
            <w:r w:rsidRPr="00F851B6">
              <w:rPr>
                <w:rFonts w:eastAsia="Times New Roman" w:cs="Arial"/>
                <w:sz w:val="16"/>
                <w:szCs w:val="16"/>
                <w:lang w:eastAsia="cs-CZ"/>
              </w:rPr>
              <w:t>Code</w:t>
            </w:r>
            <w:proofErr w:type="spellEnd"/>
            <w:r w:rsidRPr="00F851B6">
              <w:rPr>
                <w:rFonts w:eastAsia="Times New Roman" w:cs="Arial"/>
                <w:sz w:val="16"/>
                <w:szCs w:val="16"/>
                <w:lang w:eastAsia="cs-CZ"/>
              </w:rPr>
              <w:t xml:space="preserve"> </w:t>
            </w:r>
            <w:proofErr w:type="spellStart"/>
            <w:r w:rsidRPr="00F851B6">
              <w:rPr>
                <w:rFonts w:eastAsia="Times New Roman" w:cs="Arial"/>
                <w:sz w:val="16"/>
                <w:szCs w:val="16"/>
                <w:lang w:eastAsia="cs-CZ"/>
              </w:rPr>
              <w:t>week</w:t>
            </w:r>
            <w:proofErr w:type="spellEnd"/>
            <w:r w:rsidRPr="00F851B6">
              <w:rPr>
                <w:rFonts w:eastAsia="Times New Roman" w:cs="Arial"/>
                <w:sz w:val="16"/>
                <w:szCs w:val="16"/>
                <w:lang w:eastAsia="cs-CZ"/>
              </w:rPr>
              <w:t>“ aj.</w:t>
            </w:r>
          </w:p>
          <w:p w:rsidR="00F851B6" w:rsidRPr="00F851B6" w:rsidRDefault="00F851B6" w:rsidP="00246A0B">
            <w:pPr>
              <w:pStyle w:val="Odstavecseseznamem"/>
              <w:numPr>
                <w:ilvl w:val="0"/>
                <w:numId w:val="18"/>
              </w:numPr>
              <w:spacing w:after="0" w:line="240" w:lineRule="auto"/>
              <w:rPr>
                <w:rFonts w:eastAsia="Times New Roman" w:cs="Arial"/>
                <w:sz w:val="16"/>
                <w:szCs w:val="16"/>
                <w:lang w:eastAsia="cs-CZ"/>
              </w:rPr>
            </w:pPr>
            <w:r w:rsidRPr="00F851B6">
              <w:rPr>
                <w:rFonts w:eastAsia="Times New Roman" w:cs="Arial"/>
                <w:sz w:val="16"/>
                <w:szCs w:val="16"/>
                <w:lang w:eastAsia="cs-CZ"/>
              </w:rPr>
              <w:t xml:space="preserve">Soutěže v robotice „Lego </w:t>
            </w:r>
            <w:proofErr w:type="spellStart"/>
            <w:r w:rsidRPr="00F851B6">
              <w:rPr>
                <w:rFonts w:eastAsia="Times New Roman" w:cs="Arial"/>
                <w:sz w:val="16"/>
                <w:szCs w:val="16"/>
                <w:lang w:eastAsia="cs-CZ"/>
              </w:rPr>
              <w:t>League</w:t>
            </w:r>
            <w:proofErr w:type="spellEnd"/>
            <w:r w:rsidRPr="00F851B6">
              <w:rPr>
                <w:rFonts w:eastAsia="Times New Roman" w:cs="Arial"/>
                <w:sz w:val="16"/>
                <w:szCs w:val="16"/>
                <w:lang w:eastAsia="cs-CZ"/>
              </w:rPr>
              <w:t>“</w:t>
            </w:r>
          </w:p>
          <w:p w:rsidR="00F851B6" w:rsidRPr="00F851B6" w:rsidRDefault="00F851B6" w:rsidP="00246A0B">
            <w:pPr>
              <w:pStyle w:val="Odstavecseseznamem"/>
              <w:numPr>
                <w:ilvl w:val="0"/>
                <w:numId w:val="18"/>
              </w:numPr>
              <w:spacing w:after="0" w:line="240" w:lineRule="auto"/>
              <w:rPr>
                <w:rFonts w:eastAsia="Times New Roman" w:cs="Arial"/>
                <w:sz w:val="16"/>
                <w:szCs w:val="16"/>
                <w:lang w:eastAsia="cs-CZ"/>
              </w:rPr>
            </w:pPr>
            <w:r w:rsidRPr="00F851B6">
              <w:rPr>
                <w:rFonts w:eastAsia="Times New Roman" w:cs="Arial"/>
                <w:sz w:val="16"/>
                <w:szCs w:val="16"/>
                <w:lang w:eastAsia="cs-CZ"/>
              </w:rPr>
              <w:t>Soutěže v programování mikrořadičů „</w:t>
            </w:r>
            <w:proofErr w:type="spellStart"/>
            <w:r w:rsidRPr="00F851B6">
              <w:rPr>
                <w:rFonts w:eastAsia="Times New Roman" w:cs="Arial"/>
                <w:sz w:val="16"/>
                <w:szCs w:val="16"/>
                <w:lang w:eastAsia="cs-CZ"/>
              </w:rPr>
              <w:t>Arduino</w:t>
            </w:r>
            <w:proofErr w:type="spellEnd"/>
            <w:r w:rsidRPr="00F851B6">
              <w:rPr>
                <w:rFonts w:eastAsia="Times New Roman" w:cs="Arial"/>
                <w:sz w:val="16"/>
                <w:szCs w:val="16"/>
                <w:lang w:eastAsia="cs-CZ"/>
              </w:rPr>
              <w:t>“</w:t>
            </w:r>
          </w:p>
          <w:p w:rsidR="007B17FF" w:rsidRDefault="00F851B6" w:rsidP="00246A0B">
            <w:pPr>
              <w:pStyle w:val="Odstavecseseznamem"/>
              <w:numPr>
                <w:ilvl w:val="0"/>
                <w:numId w:val="18"/>
              </w:numPr>
              <w:spacing w:after="0" w:line="240" w:lineRule="auto"/>
              <w:rPr>
                <w:rFonts w:eastAsia="Times New Roman" w:cs="Arial"/>
                <w:sz w:val="16"/>
                <w:szCs w:val="16"/>
                <w:lang w:eastAsia="cs-CZ"/>
              </w:rPr>
            </w:pPr>
            <w:r w:rsidRPr="00F851B6">
              <w:rPr>
                <w:rFonts w:eastAsia="Times New Roman" w:cs="Arial"/>
                <w:sz w:val="16"/>
                <w:szCs w:val="16"/>
                <w:lang w:eastAsia="cs-CZ"/>
              </w:rPr>
              <w:t xml:space="preserve">Soutěže </w:t>
            </w:r>
            <w:proofErr w:type="spellStart"/>
            <w:r w:rsidRPr="00F851B6">
              <w:rPr>
                <w:rFonts w:eastAsia="Times New Roman" w:cs="Arial"/>
                <w:sz w:val="16"/>
                <w:szCs w:val="16"/>
                <w:lang w:eastAsia="cs-CZ"/>
              </w:rPr>
              <w:t>Amavet</w:t>
            </w:r>
            <w:proofErr w:type="spellEnd"/>
            <w:r w:rsidRPr="00F851B6">
              <w:rPr>
                <w:rFonts w:eastAsia="Times New Roman" w:cs="Arial"/>
                <w:sz w:val="16"/>
                <w:szCs w:val="16"/>
                <w:lang w:eastAsia="cs-CZ"/>
              </w:rPr>
              <w:t xml:space="preserve">: „Expo Science </w:t>
            </w:r>
            <w:proofErr w:type="spellStart"/>
            <w:r w:rsidRPr="00F851B6">
              <w:rPr>
                <w:rFonts w:eastAsia="Times New Roman" w:cs="Arial"/>
                <w:sz w:val="16"/>
                <w:szCs w:val="16"/>
                <w:lang w:eastAsia="cs-CZ"/>
              </w:rPr>
              <w:t>Amavet</w:t>
            </w:r>
            <w:proofErr w:type="spellEnd"/>
            <w:r w:rsidRPr="00F851B6">
              <w:rPr>
                <w:rFonts w:eastAsia="Times New Roman" w:cs="Arial"/>
                <w:sz w:val="16"/>
                <w:szCs w:val="16"/>
                <w:lang w:eastAsia="cs-CZ"/>
              </w:rPr>
              <w:t>“, „Festival vědy a techniky pro děti a mládež“</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 xml:space="preserve">Pro studenty VŠ: </w:t>
            </w:r>
          </w:p>
          <w:p w:rsidR="00F851B6" w:rsidRDefault="000653C9" w:rsidP="00246A0B">
            <w:pPr>
              <w:pStyle w:val="Odstavecseseznamem"/>
              <w:numPr>
                <w:ilvl w:val="0"/>
                <w:numId w:val="18"/>
              </w:numPr>
              <w:spacing w:after="0" w:line="240" w:lineRule="auto"/>
              <w:rPr>
                <w:rFonts w:eastAsia="Times New Roman" w:cs="Arial"/>
                <w:sz w:val="16"/>
                <w:szCs w:val="16"/>
                <w:lang w:eastAsia="cs-CZ"/>
              </w:rPr>
            </w:pPr>
            <w:r w:rsidRPr="000653C9">
              <w:rPr>
                <w:rFonts w:eastAsia="Times New Roman" w:cs="Arial"/>
                <w:sz w:val="16"/>
                <w:szCs w:val="16"/>
                <w:lang w:eastAsia="cs-CZ"/>
              </w:rPr>
              <w:t xml:space="preserve">V rámci </w:t>
            </w:r>
            <w:proofErr w:type="spellStart"/>
            <w:r w:rsidRPr="000653C9">
              <w:rPr>
                <w:rFonts w:eastAsia="Times New Roman" w:cs="Arial"/>
                <w:sz w:val="16"/>
                <w:szCs w:val="16"/>
                <w:lang w:eastAsia="cs-CZ"/>
              </w:rPr>
              <w:t>IPo</w:t>
            </w:r>
            <w:proofErr w:type="spellEnd"/>
            <w:r w:rsidRPr="000653C9">
              <w:rPr>
                <w:rFonts w:eastAsia="Times New Roman" w:cs="Arial"/>
                <w:sz w:val="16"/>
                <w:szCs w:val="16"/>
                <w:lang w:eastAsia="cs-CZ"/>
              </w:rPr>
              <w:t xml:space="preserve"> „Implementace Strategie digitálního vzděláváni 1“ jako povinná aktivita pedagogických fakult uspořádat 3 ročníky soutěže pro studenty VŠ zaměřené na didaktickou podporu rozvoje digitální gramotnosti</w:t>
            </w:r>
          </w:p>
          <w:p w:rsidR="000653C9" w:rsidRPr="000653C9" w:rsidRDefault="000653C9" w:rsidP="000653C9">
            <w:pPr>
              <w:spacing w:after="0" w:line="240" w:lineRule="auto"/>
              <w:jc w:val="left"/>
              <w:rPr>
                <w:rFonts w:ascii="Calibri" w:eastAsia="Times New Roman" w:hAnsi="Calibri" w:cs="Times New Roman"/>
                <w:sz w:val="16"/>
                <w:szCs w:val="16"/>
                <w:lang w:eastAsia="cs-CZ"/>
              </w:rPr>
            </w:pPr>
            <w:r w:rsidRPr="000653C9">
              <w:rPr>
                <w:rFonts w:ascii="Calibri" w:eastAsia="Times New Roman" w:hAnsi="Calibri" w:cs="Times New Roman"/>
                <w:sz w:val="16"/>
                <w:szCs w:val="16"/>
                <w:lang w:eastAsia="cs-CZ"/>
              </w:rPr>
              <w:t>Pro pedagogy</w:t>
            </w:r>
            <w:r w:rsidRPr="000653C9">
              <w:rPr>
                <w:rFonts w:ascii="Calibri" w:eastAsia="Times New Roman" w:hAnsi="Calibri" w:cs="Times New Roman"/>
                <w:b/>
                <w:sz w:val="16"/>
                <w:szCs w:val="16"/>
                <w:lang w:eastAsia="cs-CZ"/>
              </w:rPr>
              <w:t>:</w:t>
            </w:r>
            <w:r w:rsidRPr="000653C9">
              <w:rPr>
                <w:rFonts w:ascii="Calibri" w:eastAsia="Times New Roman" w:hAnsi="Calibri" w:cs="Times New Roman"/>
                <w:sz w:val="16"/>
                <w:szCs w:val="16"/>
                <w:lang w:eastAsia="cs-CZ"/>
              </w:rPr>
              <w:t xml:space="preserve"> </w:t>
            </w:r>
          </w:p>
          <w:p w:rsidR="000653C9" w:rsidRDefault="000653C9" w:rsidP="00246A0B">
            <w:pPr>
              <w:pStyle w:val="Odstavecseseznamem"/>
              <w:numPr>
                <w:ilvl w:val="0"/>
                <w:numId w:val="18"/>
              </w:numPr>
              <w:spacing w:after="0" w:line="240" w:lineRule="auto"/>
              <w:jc w:val="left"/>
              <w:rPr>
                <w:rFonts w:ascii="Calibri" w:eastAsia="Times New Roman" w:hAnsi="Calibri" w:cs="Times New Roman"/>
                <w:sz w:val="16"/>
                <w:szCs w:val="16"/>
                <w:lang w:eastAsia="cs-CZ"/>
              </w:rPr>
            </w:pPr>
            <w:r>
              <w:rPr>
                <w:rFonts w:ascii="Calibri" w:eastAsia="Times New Roman" w:hAnsi="Calibri" w:cs="Times New Roman"/>
                <w:sz w:val="16"/>
                <w:szCs w:val="16"/>
                <w:lang w:eastAsia="cs-CZ"/>
              </w:rPr>
              <w:t>Aktivita DOMINO, Zadán úkol NIDV zvýšit podporu soutěží DOMINO</w:t>
            </w:r>
          </w:p>
          <w:p w:rsidR="000653C9" w:rsidRPr="000653C9" w:rsidRDefault="000653C9" w:rsidP="000653C9">
            <w:pPr>
              <w:spacing w:after="0" w:line="240" w:lineRule="auto"/>
              <w:jc w:val="left"/>
              <w:rPr>
                <w:rFonts w:ascii="Calibri" w:eastAsia="Times New Roman" w:hAnsi="Calibri" w:cs="Times New Roman"/>
                <w:sz w:val="16"/>
                <w:szCs w:val="16"/>
                <w:lang w:eastAsia="cs-CZ"/>
              </w:rPr>
            </w:pPr>
            <w:r w:rsidRPr="000653C9">
              <w:rPr>
                <w:rFonts w:ascii="Calibri" w:eastAsia="Times New Roman" w:hAnsi="Calibri" w:cs="Times New Roman"/>
                <w:sz w:val="16"/>
                <w:szCs w:val="16"/>
                <w:lang w:eastAsia="cs-CZ"/>
              </w:rPr>
              <w:t xml:space="preserve">Pro firmy: </w:t>
            </w:r>
          </w:p>
          <w:p w:rsidR="000653C9" w:rsidRPr="000653C9" w:rsidRDefault="000653C9" w:rsidP="00246A0B">
            <w:pPr>
              <w:pStyle w:val="Odstavecseseznamem"/>
              <w:numPr>
                <w:ilvl w:val="0"/>
                <w:numId w:val="18"/>
              </w:numPr>
              <w:spacing w:after="0" w:line="240" w:lineRule="auto"/>
              <w:rPr>
                <w:rFonts w:eastAsia="Times New Roman" w:cs="Arial"/>
                <w:sz w:val="16"/>
                <w:szCs w:val="16"/>
                <w:lang w:eastAsia="cs-CZ"/>
              </w:rPr>
            </w:pPr>
            <w:r w:rsidRPr="000653C9">
              <w:rPr>
                <w:rFonts w:ascii="Calibri" w:eastAsia="Times New Roman" w:hAnsi="Calibri" w:cs="Times New Roman"/>
                <w:sz w:val="16"/>
                <w:szCs w:val="16"/>
                <w:lang w:eastAsia="cs-CZ"/>
              </w:rPr>
              <w:t>Ve spolupráci s MŠMT, Magistrátem Hlavního města Prahy Prague Startup Centre, Czech ICT Alliance a Czech Invest realizuje start up pro oblast vzdělávání, aktuálně připravujeme memorandum o spolupráci</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31.12.2016</w:t>
            </w:r>
            <w:proofErr w:type="gramEnd"/>
            <w:r w:rsidRPr="00E31FF5">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AB1F2F">
        <w:trPr>
          <w:trHeight w:val="629"/>
        </w:trPr>
        <w:tc>
          <w:tcPr>
            <w:tcW w:w="1226" w:type="dxa"/>
            <w:vMerge/>
            <w:tcBorders>
              <w:top w:val="nil"/>
              <w:left w:val="single" w:sz="4" w:space="0" w:color="auto"/>
              <w:bottom w:val="single" w:sz="4" w:space="0" w:color="auto"/>
              <w:right w:val="single" w:sz="4" w:space="0" w:color="auto"/>
            </w:tcBorders>
            <w:vAlign w:val="center"/>
            <w:hideMark/>
          </w:tcPr>
          <w:p w:rsidR="007B17FF" w:rsidRPr="00E31FF5"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5.1.2 Podpořit spolupráci soukromého sektoru s výzkumnými pracovišti při vývoji nových zařízení či postupů usnadňujících dosažení potřebných pedagogicky relevantních výukových cílů, podpořit provázání teoretické a praktické výuky a spolupráci při zajišťování výuky inovovaných oborů apod.</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soukromý, veřejný a neziskový sektor</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Výzva OP VVV, PO 1 „Dlouhodobá mezisektorová spolupráce“. Zde povinné partnerství mezi výzkumnou organizací, podniky a vzdělávací institucí</w:t>
            </w:r>
            <w:r>
              <w:rPr>
                <w:rFonts w:eastAsia="Times New Roman" w:cs="Arial"/>
                <w:sz w:val="16"/>
                <w:szCs w:val="16"/>
                <w:lang w:eastAsia="cs-CZ"/>
              </w:rPr>
              <w:t>, p</w:t>
            </w:r>
            <w:r w:rsidRPr="000653C9">
              <w:rPr>
                <w:rFonts w:eastAsia="Times New Roman" w:cs="Arial"/>
                <w:sz w:val="16"/>
                <w:szCs w:val="16"/>
                <w:lang w:eastAsia="cs-CZ"/>
              </w:rPr>
              <w:t>řijímání žádostí leden – červen 2017</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Zavedení nové specializační pozice v rámci novelizace zákona o pedagogických pracovnících – kariérový poradce od 1. 9. 2017</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Šablony pro SŠ, VOŠ (zde šablona pro SŠ koordinátor spolupráce školy a firmy)</w:t>
            </w:r>
            <w:r>
              <w:rPr>
                <w:rFonts w:eastAsia="Times New Roman" w:cs="Arial"/>
                <w:sz w:val="16"/>
                <w:szCs w:val="16"/>
                <w:lang w:eastAsia="cs-CZ"/>
              </w:rPr>
              <w:t>, p</w:t>
            </w:r>
            <w:r w:rsidRPr="000653C9">
              <w:rPr>
                <w:rFonts w:eastAsia="Times New Roman" w:cs="Arial"/>
                <w:sz w:val="16"/>
                <w:szCs w:val="16"/>
                <w:lang w:eastAsia="cs-CZ"/>
              </w:rPr>
              <w:t>řijímání žádostí leden – prosinec 2017</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Vytvořena Platforma na podporu odborného vzdělávání (sekce II)</w:t>
            </w:r>
            <w:r>
              <w:rPr>
                <w:rFonts w:eastAsia="Times New Roman" w:cs="Arial"/>
                <w:sz w:val="16"/>
                <w:szCs w:val="16"/>
                <w:lang w:eastAsia="cs-CZ"/>
              </w:rPr>
              <w:t xml:space="preserve"> – komunikace se zaměstnavateli</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 xml:space="preserve">Projekt </w:t>
            </w:r>
            <w:proofErr w:type="spellStart"/>
            <w:r w:rsidRPr="000653C9">
              <w:rPr>
                <w:rFonts w:eastAsia="Times New Roman" w:cs="Arial"/>
                <w:sz w:val="16"/>
                <w:szCs w:val="16"/>
                <w:lang w:eastAsia="cs-CZ"/>
              </w:rPr>
              <w:t>IPs</w:t>
            </w:r>
            <w:proofErr w:type="spellEnd"/>
            <w:r w:rsidRPr="000653C9">
              <w:rPr>
                <w:rFonts w:eastAsia="Times New Roman" w:cs="Arial"/>
                <w:sz w:val="16"/>
                <w:szCs w:val="16"/>
                <w:lang w:eastAsia="cs-CZ"/>
              </w:rPr>
              <w:t xml:space="preserve"> „Modernizace odborného vzdělávání“ (NUV)</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IPO „Výzva pro VOŠ“ – podpora provázání teoretické a praktické výuky</w:t>
            </w:r>
            <w:r>
              <w:rPr>
                <w:rFonts w:eastAsia="Times New Roman" w:cs="Arial"/>
                <w:sz w:val="16"/>
                <w:szCs w:val="16"/>
                <w:lang w:eastAsia="cs-CZ"/>
              </w:rPr>
              <w:t>, p</w:t>
            </w:r>
            <w:r w:rsidRPr="000653C9">
              <w:rPr>
                <w:rFonts w:eastAsia="Times New Roman" w:cs="Arial"/>
                <w:sz w:val="16"/>
                <w:szCs w:val="16"/>
                <w:lang w:eastAsia="cs-CZ"/>
              </w:rPr>
              <w:t>odávání projektových žádostí duben – červen 2017</w:t>
            </w:r>
          </w:p>
          <w:p w:rsidR="000653C9" w:rsidRPr="000653C9" w:rsidRDefault="000653C9" w:rsidP="000653C9">
            <w:pPr>
              <w:spacing w:after="0" w:line="240" w:lineRule="auto"/>
              <w:rPr>
                <w:rFonts w:eastAsia="Times New Roman" w:cs="Arial"/>
                <w:sz w:val="16"/>
                <w:szCs w:val="16"/>
                <w:lang w:eastAsia="cs-CZ"/>
              </w:rPr>
            </w:pP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Inovované obory vznikají kontinuálně a budou vznikat především v rámci revizí RVP</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Od 1. září 2017 bude v rámci pokusného ověřování realizován nový vzdělávací program „Kybernetická bezpečnost“ jako maturitní obor skupiny M</w:t>
            </w:r>
          </w:p>
          <w:p w:rsidR="000653C9" w:rsidRPr="000653C9" w:rsidRDefault="000653C9" w:rsidP="000653C9">
            <w:pPr>
              <w:spacing w:after="0" w:line="240" w:lineRule="auto"/>
              <w:rPr>
                <w:rFonts w:eastAsia="Times New Roman" w:cs="Arial"/>
                <w:sz w:val="16"/>
                <w:szCs w:val="16"/>
                <w:lang w:eastAsia="cs-CZ"/>
              </w:rPr>
            </w:pPr>
            <w:r w:rsidRPr="000653C9">
              <w:rPr>
                <w:rFonts w:eastAsia="Times New Roman" w:cs="Arial"/>
                <w:sz w:val="16"/>
                <w:szCs w:val="16"/>
                <w:lang w:eastAsia="cs-CZ"/>
              </w:rPr>
              <w:t>Inovované vzdělávací programy jednotlivých oborů budou vznikat v rámci revizí RVP, které jsou realizovány ve spolupráci se zaměstnavateli</w:t>
            </w:r>
          </w:p>
          <w:p w:rsidR="007B17FF" w:rsidRPr="00AB1F2F" w:rsidRDefault="000653C9" w:rsidP="00AB1F2F">
            <w:pPr>
              <w:spacing w:after="0" w:line="240" w:lineRule="auto"/>
              <w:rPr>
                <w:rFonts w:eastAsia="Times New Roman" w:cs="Arial"/>
                <w:sz w:val="16"/>
                <w:szCs w:val="16"/>
                <w:lang w:eastAsia="cs-CZ"/>
              </w:rPr>
            </w:pPr>
            <w:r w:rsidRPr="000653C9">
              <w:rPr>
                <w:rFonts w:eastAsia="Times New Roman" w:cs="Arial"/>
                <w:sz w:val="16"/>
                <w:szCs w:val="16"/>
                <w:lang w:eastAsia="cs-CZ"/>
              </w:rPr>
              <w:t xml:space="preserve">Úprava zákona o pedagogických pracovnících č. 563/2015 umožňuje zaměstnat pro výuku odborného předmětu odborníka z praxe, který si v průběhu působení ve škole doplní </w:t>
            </w:r>
            <w:r w:rsidRPr="000653C9">
              <w:rPr>
                <w:rFonts w:eastAsia="Times New Roman" w:cs="Arial"/>
                <w:sz w:val="16"/>
                <w:szCs w:val="16"/>
                <w:lang w:eastAsia="cs-CZ"/>
              </w:rPr>
              <w:lastRenderedPageBreak/>
              <w:t xml:space="preserve">pedagogické vzdělávání, nad 20 let praxe nemusí doplňovat pedagogické </w:t>
            </w:r>
            <w:proofErr w:type="spellStart"/>
            <w:r w:rsidRPr="000653C9">
              <w:rPr>
                <w:rFonts w:eastAsia="Times New Roman" w:cs="Arial"/>
                <w:sz w:val="16"/>
                <w:szCs w:val="16"/>
                <w:lang w:eastAsia="cs-CZ"/>
              </w:rPr>
              <w:t>vzdělávní</w:t>
            </w:r>
            <w:proofErr w:type="spellEnd"/>
            <w:r w:rsidRPr="000653C9">
              <w:rPr>
                <w:rFonts w:eastAsia="Times New Roman" w:cs="Arial"/>
                <w:sz w:val="16"/>
                <w:szCs w:val="16"/>
                <w:lang w:eastAsia="cs-CZ"/>
              </w:rPr>
              <w:t xml:space="preserve"> (od 1. 9. 2017)</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lastRenderedPageBreak/>
              <w:t>31.12.2016</w:t>
            </w:r>
            <w:proofErr w:type="gramEnd"/>
            <w:r w:rsidRPr="00E31FF5">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90F57">
        <w:trPr>
          <w:trHeight w:val="629"/>
        </w:trPr>
        <w:tc>
          <w:tcPr>
            <w:tcW w:w="1226" w:type="dxa"/>
            <w:vMerge/>
            <w:tcBorders>
              <w:top w:val="nil"/>
              <w:left w:val="single" w:sz="4" w:space="0" w:color="auto"/>
              <w:bottom w:val="single" w:sz="4" w:space="0" w:color="auto"/>
              <w:right w:val="single" w:sz="4" w:space="0" w:color="auto"/>
            </w:tcBorders>
            <w:vAlign w:val="center"/>
            <w:hideMark/>
          </w:tcPr>
          <w:p w:rsidR="007B17FF" w:rsidRPr="00E31FF5"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AB1F2F" w:rsidRPr="00EA241D" w:rsidRDefault="007B17FF" w:rsidP="00AB1F2F">
            <w:pPr>
              <w:spacing w:after="0" w:line="240" w:lineRule="auto"/>
              <w:rPr>
                <w:rFonts w:eastAsia="Times New Roman" w:cs="Arial"/>
                <w:sz w:val="16"/>
                <w:szCs w:val="16"/>
                <w:lang w:eastAsia="cs-CZ"/>
              </w:rPr>
            </w:pPr>
            <w:r w:rsidRPr="00E31FF5">
              <w:rPr>
                <w:rFonts w:eastAsia="Times New Roman" w:cs="Arial"/>
                <w:sz w:val="16"/>
                <w:szCs w:val="16"/>
                <w:lang w:eastAsia="cs-CZ"/>
              </w:rPr>
              <w:t xml:space="preserve">5.1.3 </w:t>
            </w:r>
            <w:r w:rsidR="00AB1F2F" w:rsidRPr="00EA241D">
              <w:rPr>
                <w:rFonts w:eastAsia="Times New Roman" w:cs="Arial"/>
                <w:sz w:val="16"/>
                <w:szCs w:val="16"/>
                <w:lang w:eastAsia="cs-CZ"/>
              </w:rPr>
              <w:t>Podpora spolupráce napříč rezorty v rámci České národní koalice pro digitální pracovní místa (ČNKDPM) formou:</w:t>
            </w:r>
          </w:p>
          <w:p w:rsidR="00AB1F2F" w:rsidRPr="00AB1F2F" w:rsidRDefault="00AB1F2F" w:rsidP="00246A0B">
            <w:pPr>
              <w:pStyle w:val="Odstavecseseznamem"/>
              <w:numPr>
                <w:ilvl w:val="0"/>
                <w:numId w:val="18"/>
              </w:numPr>
              <w:spacing w:after="0" w:line="240" w:lineRule="auto"/>
              <w:ind w:left="264" w:hanging="219"/>
              <w:rPr>
                <w:rFonts w:eastAsia="Times New Roman" w:cs="Arial"/>
                <w:sz w:val="16"/>
                <w:szCs w:val="16"/>
                <w:lang w:eastAsia="cs-CZ"/>
              </w:rPr>
            </w:pPr>
            <w:r w:rsidRPr="00AB1F2F">
              <w:rPr>
                <w:rFonts w:eastAsia="Times New Roman" w:cs="Arial"/>
                <w:sz w:val="16"/>
                <w:szCs w:val="16"/>
                <w:lang w:eastAsia="cs-CZ"/>
              </w:rPr>
              <w:t xml:space="preserve">Rozšiřování členské základny – získávání dalších signatářů Memoranda členů ČNKDPM. </w:t>
            </w:r>
          </w:p>
          <w:p w:rsidR="007B17FF" w:rsidRPr="00AB1F2F" w:rsidRDefault="00AB1F2F" w:rsidP="00246A0B">
            <w:pPr>
              <w:pStyle w:val="Odstavecseseznamem"/>
              <w:numPr>
                <w:ilvl w:val="0"/>
                <w:numId w:val="18"/>
              </w:numPr>
              <w:spacing w:after="0" w:line="240" w:lineRule="auto"/>
              <w:ind w:left="264" w:hanging="219"/>
              <w:rPr>
                <w:rFonts w:eastAsia="Times New Roman" w:cs="Arial"/>
                <w:sz w:val="16"/>
                <w:szCs w:val="16"/>
                <w:lang w:eastAsia="cs-CZ"/>
              </w:rPr>
            </w:pPr>
            <w:r w:rsidRPr="00AB1F2F">
              <w:rPr>
                <w:rFonts w:eastAsia="Times New Roman" w:cs="Arial"/>
                <w:sz w:val="16"/>
                <w:szCs w:val="16"/>
                <w:lang w:eastAsia="cs-CZ"/>
              </w:rPr>
              <w:t>Realizace aktivit ČNKDPM podporujících setkávání zástupců vzdělávání a trhu práce, výměnu zkušeností mezi veřejným, soukromým a neziskovým sektorem v oblasti rozvoje digitální gramotnosti občanů, uveřejňování/prezentace inovativních řešení a výsledků projektů v oblasti digitálního vzdělávání a digitálních pracovních míst, šíření zkušeností zapojených subjektů s podporou digitálních pracovních míst.</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soukromý, veřejný a neziskový sektor</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AB1F2F" w:rsidP="0045041A">
            <w:pPr>
              <w:spacing w:after="0" w:line="240" w:lineRule="auto"/>
              <w:rPr>
                <w:rFonts w:eastAsia="Times New Roman" w:cs="Arial"/>
                <w:b/>
                <w:sz w:val="16"/>
                <w:szCs w:val="16"/>
                <w:lang w:eastAsia="cs-CZ"/>
              </w:rPr>
            </w:pPr>
            <w:r>
              <w:rPr>
                <w:rFonts w:eastAsia="Times New Roman" w:cs="Arial"/>
                <w:b/>
                <w:sz w:val="16"/>
                <w:szCs w:val="16"/>
                <w:lang w:eastAsia="cs-CZ"/>
              </w:rPr>
              <w:t>Pokrok</w:t>
            </w:r>
          </w:p>
          <w:p w:rsidR="007B17FF" w:rsidRDefault="007B17FF" w:rsidP="00EA241D">
            <w:pPr>
              <w:spacing w:after="0" w:line="240" w:lineRule="auto"/>
              <w:rPr>
                <w:rFonts w:eastAsia="Times New Roman" w:cs="Arial"/>
                <w:sz w:val="16"/>
                <w:szCs w:val="16"/>
                <w:lang w:eastAsia="cs-CZ"/>
              </w:rPr>
            </w:pPr>
            <w:r>
              <w:rPr>
                <w:rFonts w:eastAsia="Times New Roman" w:cs="Arial"/>
                <w:sz w:val="16"/>
                <w:szCs w:val="16"/>
                <w:lang w:eastAsia="cs-CZ"/>
              </w:rPr>
              <w:t>Vznikla</w:t>
            </w:r>
            <w:r w:rsidRPr="00EA241D">
              <w:rPr>
                <w:rFonts w:eastAsia="Times New Roman" w:cs="Arial"/>
                <w:sz w:val="16"/>
                <w:szCs w:val="16"/>
                <w:lang w:eastAsia="cs-CZ"/>
              </w:rPr>
              <w:t xml:space="preserve"> platforma pro výměnu zkušeností mezi veřejným, soukromým a neziskovým sektorem  - Česká národní koalice pro digitální pracovní místa, která byla 1. 12. 2016 přijata mezi 13 evropských národních koalic vzniklých v rámci Grand </w:t>
            </w:r>
            <w:proofErr w:type="spellStart"/>
            <w:r w:rsidRPr="00EA241D">
              <w:rPr>
                <w:rFonts w:eastAsia="Times New Roman" w:cs="Arial"/>
                <w:sz w:val="16"/>
                <w:szCs w:val="16"/>
                <w:lang w:eastAsia="cs-CZ"/>
              </w:rPr>
              <w:t>Coalition</w:t>
            </w:r>
            <w:proofErr w:type="spellEnd"/>
            <w:r w:rsidRPr="00EA241D">
              <w:rPr>
                <w:rFonts w:eastAsia="Times New Roman" w:cs="Arial"/>
                <w:sz w:val="16"/>
                <w:szCs w:val="16"/>
                <w:lang w:eastAsia="cs-CZ"/>
              </w:rPr>
              <w:t xml:space="preserve"> </w:t>
            </w:r>
            <w:proofErr w:type="spellStart"/>
            <w:r w:rsidRPr="00EA241D">
              <w:rPr>
                <w:rFonts w:eastAsia="Times New Roman" w:cs="Arial"/>
                <w:sz w:val="16"/>
                <w:szCs w:val="16"/>
                <w:lang w:eastAsia="cs-CZ"/>
              </w:rPr>
              <w:t>for</w:t>
            </w:r>
            <w:proofErr w:type="spellEnd"/>
            <w:r w:rsidRPr="00EA241D">
              <w:rPr>
                <w:rFonts w:eastAsia="Times New Roman" w:cs="Arial"/>
                <w:sz w:val="16"/>
                <w:szCs w:val="16"/>
                <w:lang w:eastAsia="cs-CZ"/>
              </w:rPr>
              <w:t xml:space="preserve"> Digital </w:t>
            </w:r>
            <w:proofErr w:type="spellStart"/>
            <w:r w:rsidRPr="00EA241D">
              <w:rPr>
                <w:rFonts w:eastAsia="Times New Roman" w:cs="Arial"/>
                <w:sz w:val="16"/>
                <w:szCs w:val="16"/>
                <w:lang w:eastAsia="cs-CZ"/>
              </w:rPr>
              <w:t>Jobs</w:t>
            </w:r>
            <w:proofErr w:type="spellEnd"/>
            <w:r w:rsidRPr="00EA241D">
              <w:rPr>
                <w:rFonts w:eastAsia="Times New Roman" w:cs="Arial"/>
                <w:sz w:val="16"/>
                <w:szCs w:val="16"/>
                <w:lang w:eastAsia="cs-CZ"/>
              </w:rPr>
              <w:t xml:space="preserve">, nově Digital </w:t>
            </w:r>
            <w:proofErr w:type="spellStart"/>
            <w:r w:rsidRPr="00EA241D">
              <w:rPr>
                <w:rFonts w:eastAsia="Times New Roman" w:cs="Arial"/>
                <w:sz w:val="16"/>
                <w:szCs w:val="16"/>
                <w:lang w:eastAsia="cs-CZ"/>
              </w:rPr>
              <w:t>Skills</w:t>
            </w:r>
            <w:proofErr w:type="spellEnd"/>
            <w:r w:rsidRPr="00EA241D">
              <w:rPr>
                <w:rFonts w:eastAsia="Times New Roman" w:cs="Arial"/>
                <w:sz w:val="16"/>
                <w:szCs w:val="16"/>
                <w:lang w:eastAsia="cs-CZ"/>
              </w:rPr>
              <w:t xml:space="preserve"> and </w:t>
            </w:r>
            <w:proofErr w:type="spellStart"/>
            <w:r w:rsidRPr="00EA241D">
              <w:rPr>
                <w:rFonts w:eastAsia="Times New Roman" w:cs="Arial"/>
                <w:sz w:val="16"/>
                <w:szCs w:val="16"/>
                <w:lang w:eastAsia="cs-CZ"/>
              </w:rPr>
              <w:t>Jobs</w:t>
            </w:r>
            <w:proofErr w:type="spellEnd"/>
            <w:r w:rsidRPr="00EA241D">
              <w:rPr>
                <w:rFonts w:eastAsia="Times New Roman" w:cs="Arial"/>
                <w:sz w:val="16"/>
                <w:szCs w:val="16"/>
                <w:lang w:eastAsia="cs-CZ"/>
              </w:rPr>
              <w:t xml:space="preserve"> </w:t>
            </w:r>
            <w:proofErr w:type="spellStart"/>
            <w:r w:rsidRPr="00EA241D">
              <w:rPr>
                <w:rFonts w:eastAsia="Times New Roman" w:cs="Arial"/>
                <w:sz w:val="16"/>
                <w:szCs w:val="16"/>
                <w:lang w:eastAsia="cs-CZ"/>
              </w:rPr>
              <w:t>Coalition</w:t>
            </w:r>
            <w:proofErr w:type="spellEnd"/>
            <w:r w:rsidRPr="00EA241D">
              <w:rPr>
                <w:rFonts w:eastAsia="Times New Roman" w:cs="Arial"/>
                <w:sz w:val="16"/>
                <w:szCs w:val="16"/>
                <w:lang w:eastAsia="cs-CZ"/>
              </w:rPr>
              <w:t>.</w:t>
            </w:r>
          </w:p>
          <w:p w:rsidR="00AB1F2F" w:rsidRPr="00AB1F2F" w:rsidRDefault="00AB1F2F" w:rsidP="00AB1F2F">
            <w:pPr>
              <w:spacing w:after="0" w:line="240" w:lineRule="auto"/>
              <w:rPr>
                <w:rFonts w:eastAsia="Times New Roman" w:cs="Arial"/>
                <w:sz w:val="16"/>
                <w:szCs w:val="16"/>
                <w:lang w:eastAsia="cs-CZ"/>
              </w:rPr>
            </w:pPr>
            <w:r w:rsidRPr="00AB1F2F">
              <w:rPr>
                <w:rFonts w:eastAsia="Times New Roman" w:cs="Arial"/>
                <w:sz w:val="16"/>
                <w:szCs w:val="16"/>
                <w:lang w:eastAsia="cs-CZ"/>
              </w:rPr>
              <w:t>Realizace aktivit Česká národní koalice pro digitální pracovní místa, uveřejňování inovativních řešení, šíření zkušeností</w:t>
            </w:r>
          </w:p>
          <w:p w:rsidR="007B17FF" w:rsidRPr="00AB1F2F" w:rsidRDefault="00AB1F2F" w:rsidP="00AB1F2F">
            <w:pPr>
              <w:spacing w:after="0" w:line="240" w:lineRule="auto"/>
              <w:rPr>
                <w:rFonts w:eastAsia="Times New Roman" w:cs="Arial"/>
                <w:sz w:val="16"/>
                <w:szCs w:val="16"/>
                <w:lang w:eastAsia="cs-CZ"/>
              </w:rPr>
            </w:pPr>
            <w:r w:rsidRPr="00AB1F2F">
              <w:rPr>
                <w:rFonts w:eastAsia="Times New Roman" w:cs="Arial"/>
                <w:sz w:val="16"/>
                <w:szCs w:val="16"/>
                <w:lang w:eastAsia="cs-CZ"/>
              </w:rPr>
              <w:t>•</w:t>
            </w:r>
            <w:r w:rsidRPr="00AB1F2F">
              <w:rPr>
                <w:rFonts w:eastAsia="Times New Roman" w:cs="Arial"/>
                <w:sz w:val="16"/>
                <w:szCs w:val="16"/>
                <w:lang w:eastAsia="cs-CZ"/>
              </w:rPr>
              <w:tab/>
              <w:t xml:space="preserve">Formy zveřejňování informací: web, měsíční </w:t>
            </w:r>
            <w:proofErr w:type="spellStart"/>
            <w:r w:rsidRPr="00AB1F2F">
              <w:rPr>
                <w:rFonts w:eastAsia="Times New Roman" w:cs="Arial"/>
                <w:sz w:val="16"/>
                <w:szCs w:val="16"/>
                <w:lang w:eastAsia="cs-CZ"/>
              </w:rPr>
              <w:t>newsletter</w:t>
            </w:r>
            <w:proofErr w:type="spellEnd"/>
            <w:r w:rsidRPr="00AB1F2F">
              <w:rPr>
                <w:rFonts w:eastAsia="Times New Roman" w:cs="Arial"/>
                <w:sz w:val="16"/>
                <w:szCs w:val="16"/>
                <w:lang w:eastAsia="cs-CZ"/>
              </w:rPr>
              <w:t xml:space="preserve">, </w:t>
            </w:r>
            <w:proofErr w:type="spellStart"/>
            <w:r w:rsidRPr="00AB1F2F">
              <w:rPr>
                <w:rFonts w:eastAsia="Times New Roman" w:cs="Arial"/>
                <w:sz w:val="16"/>
                <w:szCs w:val="16"/>
                <w:lang w:eastAsia="cs-CZ"/>
              </w:rPr>
              <w:t>Twitter</w:t>
            </w:r>
            <w:proofErr w:type="spellEnd"/>
            <w:r w:rsidRPr="00AB1F2F">
              <w:rPr>
                <w:rFonts w:eastAsia="Times New Roman" w:cs="Arial"/>
                <w:sz w:val="16"/>
                <w:szCs w:val="16"/>
                <w:lang w:eastAsia="cs-CZ"/>
              </w:rPr>
              <w:t>, workshopy, diskusní panely</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AB1F2F" w:rsidP="0045041A">
            <w:pPr>
              <w:spacing w:after="0" w:line="240" w:lineRule="auto"/>
              <w:jc w:val="center"/>
              <w:rPr>
                <w:rFonts w:eastAsia="Times New Roman" w:cs="Arial"/>
                <w:sz w:val="16"/>
                <w:szCs w:val="16"/>
                <w:lang w:eastAsia="cs-CZ"/>
              </w:rPr>
            </w:pPr>
            <w:r>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p>
        </w:tc>
      </w:tr>
      <w:tr w:rsidR="007B17FF" w:rsidRPr="00E31FF5" w:rsidTr="007B17FF">
        <w:trPr>
          <w:trHeight w:val="2110"/>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5.2 Podpora pedagogického výzkumu v oblasti využívání digitálních technologií</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xml:space="preserve">5.2.1 </w:t>
            </w:r>
            <w:r w:rsidR="00AB1F2F">
              <w:rPr>
                <w:rFonts w:eastAsia="Times New Roman" w:cs="Arial"/>
                <w:sz w:val="16"/>
                <w:szCs w:val="16"/>
                <w:lang w:eastAsia="cs-CZ"/>
              </w:rPr>
              <w:t xml:space="preserve">Podpořit a zadat </w:t>
            </w:r>
            <w:r w:rsidR="00AB1F2F" w:rsidRPr="00EA241D">
              <w:rPr>
                <w:rFonts w:eastAsia="Times New Roman" w:cs="Arial"/>
                <w:sz w:val="16"/>
                <w:szCs w:val="16"/>
                <w:lang w:eastAsia="cs-CZ"/>
              </w:rPr>
              <w:t>výzkumn</w:t>
            </w:r>
            <w:r w:rsidR="00AB1F2F">
              <w:rPr>
                <w:rFonts w:eastAsia="Times New Roman" w:cs="Arial"/>
                <w:sz w:val="16"/>
                <w:szCs w:val="16"/>
                <w:lang w:eastAsia="cs-CZ"/>
              </w:rPr>
              <w:t>á</w:t>
            </w:r>
            <w:r w:rsidR="00AB1F2F" w:rsidRPr="00EA241D">
              <w:rPr>
                <w:rFonts w:eastAsia="Times New Roman" w:cs="Arial"/>
                <w:sz w:val="16"/>
                <w:szCs w:val="16"/>
                <w:lang w:eastAsia="cs-CZ"/>
              </w:rPr>
              <w:t xml:space="preserve"> (kvalitativních i k</w:t>
            </w:r>
            <w:r w:rsidR="00AB1F2F">
              <w:rPr>
                <w:rFonts w:eastAsia="Times New Roman" w:cs="Arial"/>
                <w:sz w:val="16"/>
                <w:szCs w:val="16"/>
                <w:lang w:eastAsia="cs-CZ"/>
              </w:rPr>
              <w:t>vantitativních) šetření a studie</w:t>
            </w:r>
            <w:r w:rsidR="00AB1F2F" w:rsidRPr="00EA241D">
              <w:rPr>
                <w:rFonts w:eastAsia="Times New Roman" w:cs="Arial"/>
                <w:sz w:val="16"/>
                <w:szCs w:val="16"/>
                <w:lang w:eastAsia="cs-CZ"/>
              </w:rPr>
              <w:t xml:space="preserve"> týkajících se rozmanitých aspektů využívání digitálních technologií ve vzdělávání, rozvoje digitální gramotnosti a informatického m</w:t>
            </w:r>
            <w:r w:rsidR="00AB1F2F">
              <w:rPr>
                <w:rFonts w:eastAsia="Times New Roman" w:cs="Arial"/>
                <w:sz w:val="16"/>
                <w:szCs w:val="16"/>
                <w:lang w:eastAsia="cs-CZ"/>
              </w:rPr>
              <w:t>yšlení žáků, studentů a občanů. Podpořit</w:t>
            </w:r>
            <w:r w:rsidR="00AB1F2F" w:rsidRPr="00EA241D">
              <w:rPr>
                <w:rFonts w:eastAsia="Times New Roman" w:cs="Arial"/>
                <w:sz w:val="16"/>
                <w:szCs w:val="16"/>
                <w:lang w:eastAsia="cs-CZ"/>
              </w:rPr>
              <w:t xml:space="preserve"> rovněž dosud méně používané výzkumné metody (např. akční výzkum).</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GAČR, TAČR</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D0211D" w:rsidP="0045041A">
            <w:pPr>
              <w:spacing w:after="0" w:line="240" w:lineRule="auto"/>
              <w:rPr>
                <w:rFonts w:eastAsia="Times New Roman" w:cs="Arial"/>
                <w:b/>
                <w:sz w:val="16"/>
                <w:szCs w:val="16"/>
                <w:lang w:eastAsia="cs-CZ"/>
              </w:rPr>
            </w:pPr>
            <w:r>
              <w:rPr>
                <w:rFonts w:eastAsia="Times New Roman" w:cs="Arial"/>
                <w:b/>
                <w:sz w:val="16"/>
                <w:szCs w:val="16"/>
                <w:lang w:eastAsia="cs-CZ"/>
              </w:rPr>
              <w:t>P</w:t>
            </w:r>
            <w:r w:rsidR="007B17FF" w:rsidRPr="00495106">
              <w:rPr>
                <w:rFonts w:eastAsia="Times New Roman" w:cs="Arial"/>
                <w:b/>
                <w:sz w:val="16"/>
                <w:szCs w:val="16"/>
                <w:lang w:eastAsia="cs-CZ"/>
              </w:rPr>
              <w:t>okrok</w:t>
            </w:r>
          </w:p>
          <w:p w:rsidR="007B17FF" w:rsidRPr="00E31FF5" w:rsidRDefault="00AB1F2F" w:rsidP="00D0211D">
            <w:pPr>
              <w:spacing w:after="0" w:line="240" w:lineRule="auto"/>
              <w:rPr>
                <w:rFonts w:eastAsia="Times New Roman" w:cs="Arial"/>
                <w:sz w:val="16"/>
                <w:szCs w:val="16"/>
                <w:lang w:eastAsia="cs-CZ"/>
              </w:rPr>
            </w:pPr>
            <w:r>
              <w:rPr>
                <w:rFonts w:eastAsia="Times New Roman" w:cs="Arial"/>
                <w:sz w:val="16"/>
                <w:szCs w:val="16"/>
                <w:lang w:eastAsia="cs-CZ"/>
              </w:rPr>
              <w:t>MŠMT se od roku 2017 zapojilo</w:t>
            </w:r>
            <w:r w:rsidR="007B17FF" w:rsidRPr="00EA241D">
              <w:rPr>
                <w:rFonts w:eastAsia="Times New Roman" w:cs="Arial"/>
                <w:sz w:val="16"/>
                <w:szCs w:val="16"/>
                <w:lang w:eastAsia="cs-CZ"/>
              </w:rPr>
              <w:t xml:space="preserve"> </w:t>
            </w:r>
            <w:r w:rsidR="00D0211D">
              <w:rPr>
                <w:rFonts w:eastAsia="Times New Roman" w:cs="Arial"/>
                <w:sz w:val="16"/>
                <w:szCs w:val="16"/>
                <w:lang w:eastAsia="cs-CZ"/>
              </w:rPr>
              <w:t>d</w:t>
            </w:r>
            <w:r w:rsidR="007B17FF" w:rsidRPr="00EA241D">
              <w:rPr>
                <w:rFonts w:eastAsia="Times New Roman" w:cs="Arial"/>
                <w:sz w:val="16"/>
                <w:szCs w:val="16"/>
                <w:lang w:eastAsia="cs-CZ"/>
              </w:rPr>
              <w:t>o</w:t>
            </w:r>
            <w:r w:rsidR="00D0211D">
              <w:rPr>
                <w:rFonts w:eastAsia="Times New Roman" w:cs="Arial"/>
                <w:sz w:val="16"/>
                <w:szCs w:val="16"/>
                <w:lang w:eastAsia="cs-CZ"/>
              </w:rPr>
              <w:t xml:space="preserve"> Programu BETA 2 TA ČR (</w:t>
            </w:r>
            <w:r w:rsidR="007B17FF" w:rsidRPr="00EA241D">
              <w:rPr>
                <w:rFonts w:eastAsia="Times New Roman" w:cs="Arial"/>
                <w:sz w:val="16"/>
                <w:szCs w:val="16"/>
                <w:lang w:eastAsia="cs-CZ"/>
              </w:rPr>
              <w:t>2017 – 2021</w:t>
            </w:r>
            <w:r w:rsidR="00D0211D">
              <w:rPr>
                <w:rFonts w:eastAsia="Times New Roman" w:cs="Arial"/>
                <w:sz w:val="16"/>
                <w:szCs w:val="16"/>
                <w:lang w:eastAsia="cs-CZ"/>
              </w:rPr>
              <w:t>)</w:t>
            </w:r>
            <w:r w:rsidR="007B17FF" w:rsidRPr="00EA241D">
              <w:rPr>
                <w:rFonts w:eastAsia="Times New Roman" w:cs="Arial"/>
                <w:sz w:val="16"/>
                <w:szCs w:val="16"/>
                <w:lang w:eastAsia="cs-CZ"/>
              </w:rPr>
              <w:t>. Byl určen zástupce MŠMT v Radě Programu BETA 2 a koordinátora resortního výzkumu. Byly stanoveny priority pro resortní výzkum a jejich specifikace pro potřeby Programu Beta 2. V rámci plánovaných výzkumných potřeb MŠMT jsou i 2 témata související s realizací SDV.</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AB1F2F" w:rsidP="0045041A">
            <w:pPr>
              <w:spacing w:after="0" w:line="240" w:lineRule="auto"/>
              <w:jc w:val="center"/>
              <w:rPr>
                <w:rFonts w:eastAsia="Times New Roman" w:cs="Arial"/>
                <w:sz w:val="16"/>
                <w:szCs w:val="16"/>
                <w:lang w:eastAsia="cs-CZ"/>
              </w:rPr>
            </w:pPr>
            <w:r>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p>
        </w:tc>
      </w:tr>
      <w:tr w:rsidR="007B17FF" w:rsidRPr="00E31FF5" w:rsidTr="007B17FF">
        <w:trPr>
          <w:trHeight w:val="1558"/>
        </w:trPr>
        <w:tc>
          <w:tcPr>
            <w:tcW w:w="1226" w:type="dxa"/>
            <w:vMerge/>
            <w:tcBorders>
              <w:top w:val="nil"/>
              <w:left w:val="single" w:sz="4" w:space="0" w:color="auto"/>
              <w:bottom w:val="single" w:sz="4" w:space="0" w:color="auto"/>
              <w:right w:val="single" w:sz="4" w:space="0" w:color="auto"/>
            </w:tcBorders>
            <w:vAlign w:val="center"/>
            <w:hideMark/>
          </w:tcPr>
          <w:p w:rsidR="007B17FF" w:rsidRPr="00E31FF5"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5.2.2 Mechanismus konkurence (soutěžení o výzkumné granty) doplnit o mechanismy podpory spolupráce (například finanční podpora propojení výzkumných a vzdělávacích institucí, koordinace výzkumu v oblasti vzdělávání prostřednictvím zastřešující „virtuální“ instituce).</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GAČR, TAČR</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7B17FF" w:rsidRPr="00E31FF5" w:rsidRDefault="007B17FF" w:rsidP="00D0211D">
            <w:pPr>
              <w:spacing w:after="0" w:line="240" w:lineRule="auto"/>
              <w:rPr>
                <w:rFonts w:eastAsia="Times New Roman" w:cs="Arial"/>
                <w:sz w:val="16"/>
                <w:szCs w:val="16"/>
                <w:lang w:eastAsia="cs-CZ"/>
              </w:rPr>
            </w:pPr>
            <w:r w:rsidRPr="00E8538E">
              <w:rPr>
                <w:rFonts w:eastAsia="Times New Roman" w:cs="Arial"/>
                <w:sz w:val="16"/>
                <w:szCs w:val="16"/>
                <w:lang w:eastAsia="cs-CZ"/>
              </w:rPr>
              <w:t>Do zadání výzkumného úkolu např. prostřednictví TA ČR je zadávána jako jedna z podmínek spolupráce výzkumné a vzdělávací instituce. Ve výzvě OP VVV „Dlouhodobá mezisektorová spolupráce“ bude povinné partnerství výzkumné organizace a pod</w:t>
            </w:r>
            <w:r w:rsidR="000F68E5">
              <w:rPr>
                <w:rFonts w:eastAsia="Times New Roman" w:cs="Arial"/>
                <w:sz w:val="16"/>
                <w:szCs w:val="16"/>
                <w:lang w:eastAsia="cs-CZ"/>
              </w:rPr>
              <w:t>niku s cílem společné realizace výzkumu</w:t>
            </w:r>
            <w:r w:rsidRPr="00E8538E">
              <w:rPr>
                <w:rFonts w:eastAsia="Times New Roman" w:cs="Arial"/>
                <w:sz w:val="16"/>
                <w:szCs w:val="16"/>
                <w:lang w:eastAsia="cs-CZ"/>
              </w:rPr>
              <w:t xml:space="preserve">. Koordinací výzkumu </w:t>
            </w:r>
            <w:r>
              <w:rPr>
                <w:rFonts w:eastAsia="Times New Roman" w:cs="Arial"/>
                <w:sz w:val="16"/>
                <w:szCs w:val="16"/>
                <w:lang w:eastAsia="cs-CZ"/>
              </w:rPr>
              <w:t xml:space="preserve">v oblasti vzdělávání </w:t>
            </w:r>
            <w:r w:rsidRPr="00E8538E">
              <w:rPr>
                <w:rFonts w:eastAsia="Times New Roman" w:cs="Arial"/>
                <w:sz w:val="16"/>
                <w:szCs w:val="16"/>
                <w:lang w:eastAsia="cs-CZ"/>
              </w:rPr>
              <w:t>je pověřena sekce VI.</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D0211D" w:rsidP="0045041A">
            <w:pPr>
              <w:spacing w:after="0" w:line="240" w:lineRule="auto"/>
              <w:jc w:val="center"/>
              <w:rPr>
                <w:rFonts w:eastAsia="Times New Roman" w:cs="Arial"/>
                <w:sz w:val="16"/>
                <w:szCs w:val="16"/>
                <w:lang w:eastAsia="cs-CZ"/>
              </w:rPr>
            </w:pPr>
            <w:r>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p>
        </w:tc>
      </w:tr>
      <w:tr w:rsidR="007B17FF" w:rsidRPr="00E31FF5" w:rsidTr="00B23ECD">
        <w:trPr>
          <w:trHeight w:val="596"/>
        </w:trPr>
        <w:tc>
          <w:tcPr>
            <w:tcW w:w="1226" w:type="dxa"/>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lastRenderedPageBreak/>
              <w:t>5.3 Podpora pravidelného sběru dat, monitoringu stavu a využívání digitálních technologií ve vzdělávání</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xml:space="preserve">5.3.1 </w:t>
            </w:r>
            <w:r w:rsidR="00D0211D" w:rsidRPr="00245C40">
              <w:rPr>
                <w:rFonts w:eastAsia="Times New Roman" w:cs="Arial"/>
                <w:sz w:val="16"/>
                <w:szCs w:val="16"/>
                <w:lang w:eastAsia="cs-CZ"/>
              </w:rPr>
              <w:t xml:space="preserve">Útvary zodpovědné za zjišťování dat a informací stanoví ve spolupráci s gesčním útvarem (viz opatření 6.1) s ohledem na požadavky gestorů ostatních opatření optimální strukturu dat o využívání digitálních technologií pro učení a kvalitu rozvoje digitální gramotnosti </w:t>
            </w:r>
            <w:r w:rsidR="00D0211D">
              <w:rPr>
                <w:rFonts w:eastAsia="Times New Roman" w:cs="Arial"/>
                <w:sz w:val="16"/>
                <w:szCs w:val="16"/>
                <w:lang w:eastAsia="cs-CZ"/>
              </w:rPr>
              <w:t xml:space="preserve">a informatického myšlení </w:t>
            </w:r>
            <w:r w:rsidR="00D0211D" w:rsidRPr="00245C40">
              <w:rPr>
                <w:rFonts w:eastAsia="Times New Roman" w:cs="Arial"/>
                <w:sz w:val="16"/>
                <w:szCs w:val="16"/>
                <w:lang w:eastAsia="cs-CZ"/>
              </w:rPr>
              <w:t>žáků. Tato data ze škol a školských zařízení následně zajistí tak, aby mohla být v rámci plnění jednotlivých opatření příslušnými gestory vyhodnocována. Současně tyto útvary zajistí zveřejňování těchto dat v otevřených formátech k volnému využití, k dalším analýzám.</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ČŠI</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D0211D" w:rsidP="00245C40">
            <w:pPr>
              <w:spacing w:after="0" w:line="240" w:lineRule="auto"/>
              <w:rPr>
                <w:rFonts w:eastAsia="Times New Roman" w:cs="Arial"/>
                <w:b/>
                <w:sz w:val="16"/>
                <w:szCs w:val="16"/>
                <w:lang w:eastAsia="cs-CZ"/>
              </w:rPr>
            </w:pPr>
            <w:r>
              <w:rPr>
                <w:rFonts w:eastAsia="Times New Roman" w:cs="Arial"/>
                <w:b/>
                <w:sz w:val="16"/>
                <w:szCs w:val="16"/>
                <w:lang w:eastAsia="cs-CZ"/>
              </w:rPr>
              <w:t>Pokrok</w:t>
            </w:r>
          </w:p>
          <w:p w:rsidR="007B17FF" w:rsidRDefault="00626321" w:rsidP="00626321">
            <w:pPr>
              <w:spacing w:after="0" w:line="240" w:lineRule="auto"/>
              <w:rPr>
                <w:rFonts w:eastAsia="Times New Roman" w:cs="Arial"/>
                <w:sz w:val="16"/>
                <w:szCs w:val="16"/>
                <w:lang w:eastAsia="cs-CZ"/>
              </w:rPr>
            </w:pPr>
            <w:r w:rsidRPr="00626321">
              <w:rPr>
                <w:rFonts w:eastAsia="Times New Roman" w:cs="Arial"/>
                <w:sz w:val="16"/>
                <w:szCs w:val="16"/>
                <w:lang w:eastAsia="cs-CZ"/>
              </w:rPr>
              <w:t>Data sbírá MŠMT v rámci ročních zahajovacích výkazů a v rámci mimořádných šetření. V oblasti kvalitativních šetření a tematických zpráv řeší ČŠI v periodě 3 let</w:t>
            </w:r>
            <w:r>
              <w:rPr>
                <w:rFonts w:eastAsia="Times New Roman" w:cs="Arial"/>
                <w:sz w:val="16"/>
                <w:szCs w:val="16"/>
                <w:lang w:eastAsia="cs-CZ"/>
              </w:rPr>
              <w:t xml:space="preserve">. </w:t>
            </w:r>
            <w:r w:rsidRPr="00626321">
              <w:rPr>
                <w:rFonts w:eastAsia="Times New Roman" w:cs="Arial"/>
                <w:sz w:val="16"/>
                <w:szCs w:val="16"/>
                <w:lang w:eastAsia="cs-CZ"/>
              </w:rPr>
              <w:t>Data sbíraná MŠMT a ČŠI budou komplementární</w:t>
            </w:r>
            <w:r>
              <w:rPr>
                <w:rFonts w:eastAsia="Times New Roman" w:cs="Arial"/>
                <w:sz w:val="16"/>
                <w:szCs w:val="16"/>
                <w:lang w:eastAsia="cs-CZ"/>
              </w:rPr>
              <w:t>.</w:t>
            </w:r>
          </w:p>
          <w:p w:rsidR="00626321" w:rsidRPr="00626321" w:rsidRDefault="00626321" w:rsidP="00626321">
            <w:pPr>
              <w:spacing w:after="0" w:line="240" w:lineRule="auto"/>
              <w:rPr>
                <w:rFonts w:eastAsia="Times New Roman" w:cs="Arial"/>
                <w:sz w:val="16"/>
                <w:szCs w:val="16"/>
                <w:lang w:eastAsia="cs-CZ"/>
              </w:rPr>
            </w:pPr>
            <w:r w:rsidRPr="00626321">
              <w:rPr>
                <w:rFonts w:eastAsia="Times New Roman" w:cs="Arial"/>
                <w:sz w:val="16"/>
                <w:szCs w:val="16"/>
                <w:lang w:eastAsia="cs-CZ"/>
              </w:rPr>
              <w:t>Data jsou zveřejňována v otevřených formátech k dalším analýzám:</w:t>
            </w:r>
          </w:p>
          <w:p w:rsidR="00626321" w:rsidRPr="00626321" w:rsidRDefault="00626321" w:rsidP="00246A0B">
            <w:pPr>
              <w:pStyle w:val="Odstavecseseznamem"/>
              <w:numPr>
                <w:ilvl w:val="0"/>
                <w:numId w:val="18"/>
              </w:numPr>
              <w:spacing w:after="0" w:line="240" w:lineRule="auto"/>
              <w:ind w:left="355"/>
              <w:rPr>
                <w:rFonts w:eastAsia="Times New Roman" w:cs="Arial"/>
                <w:sz w:val="16"/>
                <w:szCs w:val="16"/>
                <w:lang w:eastAsia="cs-CZ"/>
              </w:rPr>
            </w:pPr>
            <w:r w:rsidRPr="00626321">
              <w:rPr>
                <w:rFonts w:eastAsia="Times New Roman" w:cs="Arial"/>
                <w:sz w:val="16"/>
                <w:szCs w:val="16"/>
                <w:lang w:eastAsia="cs-CZ"/>
              </w:rPr>
              <w:t>Anonymizovaná data jsou zveřejňována na webových stránkách MŠMT</w:t>
            </w:r>
            <w:r w:rsidR="00D27DF1">
              <w:rPr>
                <w:rFonts w:eastAsia="Times New Roman" w:cs="Arial"/>
                <w:sz w:val="16"/>
                <w:szCs w:val="16"/>
                <w:lang w:eastAsia="cs-CZ"/>
              </w:rPr>
              <w:t xml:space="preserve"> (</w:t>
            </w:r>
            <w:hyperlink r:id="rId16" w:history="1">
              <w:r w:rsidR="00D27DF1" w:rsidRPr="00CD2F0A">
                <w:rPr>
                  <w:rStyle w:val="Hypertextovodkaz"/>
                  <w:sz w:val="16"/>
                  <w:szCs w:val="16"/>
                </w:rPr>
                <w:t>http://www.msmt.cz/vzdelavani/skolstvi-v-cr/statistika-skolstvi/otevrena-data</w:t>
              </w:r>
            </w:hyperlink>
            <w:r w:rsidR="00D27DF1">
              <w:rPr>
                <w:rStyle w:val="Hypertextovodkaz"/>
                <w:sz w:val="16"/>
                <w:szCs w:val="16"/>
              </w:rPr>
              <w:t>)</w:t>
            </w:r>
            <w:r w:rsidRPr="00626321">
              <w:rPr>
                <w:rFonts w:eastAsia="Times New Roman" w:cs="Arial"/>
                <w:sz w:val="16"/>
                <w:szCs w:val="16"/>
                <w:lang w:eastAsia="cs-CZ"/>
              </w:rPr>
              <w:t xml:space="preserve"> a ČŠI</w:t>
            </w:r>
          </w:p>
          <w:p w:rsidR="00626321" w:rsidRPr="00626321" w:rsidRDefault="00626321" w:rsidP="00246A0B">
            <w:pPr>
              <w:pStyle w:val="Odstavecseseznamem"/>
              <w:numPr>
                <w:ilvl w:val="0"/>
                <w:numId w:val="18"/>
              </w:numPr>
              <w:spacing w:after="0" w:line="240" w:lineRule="auto"/>
              <w:ind w:left="355"/>
              <w:rPr>
                <w:rFonts w:eastAsia="Times New Roman" w:cs="Arial"/>
                <w:sz w:val="16"/>
                <w:szCs w:val="16"/>
                <w:lang w:eastAsia="cs-CZ"/>
              </w:rPr>
            </w:pPr>
            <w:proofErr w:type="spellStart"/>
            <w:r w:rsidRPr="00626321">
              <w:rPr>
                <w:rFonts w:eastAsia="Times New Roman" w:cs="Arial"/>
                <w:sz w:val="16"/>
                <w:szCs w:val="16"/>
                <w:lang w:eastAsia="cs-CZ"/>
              </w:rPr>
              <w:t>Cermat</w:t>
            </w:r>
            <w:proofErr w:type="spellEnd"/>
            <w:r w:rsidRPr="00626321">
              <w:rPr>
                <w:rFonts w:eastAsia="Times New Roman" w:cs="Arial"/>
                <w:sz w:val="16"/>
                <w:szCs w:val="16"/>
                <w:lang w:eastAsia="cs-CZ"/>
              </w:rPr>
              <w:t xml:space="preserve"> zveřejnil anonymizovaná data z </w:t>
            </w:r>
            <w:proofErr w:type="spellStart"/>
            <w:r w:rsidRPr="00626321">
              <w:rPr>
                <w:rFonts w:eastAsia="Times New Roman" w:cs="Arial"/>
                <w:sz w:val="16"/>
                <w:szCs w:val="16"/>
                <w:lang w:eastAsia="cs-CZ"/>
              </w:rPr>
              <w:t>MZk</w:t>
            </w:r>
            <w:proofErr w:type="spellEnd"/>
            <w:r w:rsidRPr="00626321">
              <w:rPr>
                <w:rFonts w:eastAsia="Times New Roman" w:cs="Arial"/>
                <w:sz w:val="16"/>
                <w:szCs w:val="16"/>
                <w:lang w:eastAsia="cs-CZ"/>
              </w:rPr>
              <w:t xml:space="preserve"> v roce 2016 v otevřeném formátu</w:t>
            </w:r>
          </w:p>
          <w:p w:rsidR="00626321" w:rsidRPr="00626321" w:rsidRDefault="00626321" w:rsidP="00246A0B">
            <w:pPr>
              <w:pStyle w:val="Odstavecseseznamem"/>
              <w:numPr>
                <w:ilvl w:val="0"/>
                <w:numId w:val="18"/>
              </w:numPr>
              <w:spacing w:after="0" w:line="240" w:lineRule="auto"/>
              <w:ind w:left="355"/>
              <w:rPr>
                <w:rFonts w:eastAsia="Times New Roman" w:cs="Arial"/>
                <w:sz w:val="16"/>
                <w:szCs w:val="16"/>
                <w:lang w:eastAsia="cs-CZ"/>
              </w:rPr>
            </w:pPr>
            <w:r w:rsidRPr="00626321">
              <w:rPr>
                <w:rFonts w:eastAsia="Times New Roman" w:cs="Arial"/>
                <w:sz w:val="16"/>
                <w:szCs w:val="16"/>
                <w:lang w:eastAsia="cs-CZ"/>
              </w:rPr>
              <w:t>ČŠI zveřejní k 30. 6. 2017 data ze šetření o využívání DT ve školách v otevřeném formátu</w:t>
            </w:r>
          </w:p>
          <w:p w:rsidR="00626321" w:rsidRPr="00626321" w:rsidRDefault="00626321" w:rsidP="00D27DF1">
            <w:pPr>
              <w:pStyle w:val="Odstavecseseznamem"/>
              <w:numPr>
                <w:ilvl w:val="0"/>
                <w:numId w:val="19"/>
              </w:numPr>
              <w:spacing w:after="0" w:line="240" w:lineRule="auto"/>
              <w:ind w:left="355"/>
              <w:rPr>
                <w:rFonts w:eastAsia="Times New Roman" w:cs="Arial"/>
                <w:sz w:val="16"/>
                <w:szCs w:val="16"/>
                <w:lang w:eastAsia="cs-CZ"/>
              </w:rPr>
            </w:pPr>
            <w:r w:rsidRPr="00626321">
              <w:rPr>
                <w:rFonts w:eastAsia="Times New Roman" w:cs="Arial"/>
                <w:sz w:val="16"/>
                <w:szCs w:val="16"/>
                <w:lang w:eastAsia="cs-CZ"/>
              </w:rPr>
              <w:t>•</w:t>
            </w:r>
            <w:r w:rsidRPr="00626321">
              <w:rPr>
                <w:rFonts w:eastAsia="Times New Roman" w:cs="Arial"/>
                <w:sz w:val="16"/>
                <w:szCs w:val="16"/>
                <w:lang w:eastAsia="cs-CZ"/>
              </w:rPr>
              <w:tab/>
              <w:t>Vytvoření nové veřejně dostupné datové základny popisující využívání, kvalitu a charakter digitálních technologií ve vzdělávání, která bude tvořena volně přístupnými daty sdružovanými v rámci činností ministerstva a jeho podřízených organizací, se předpokládá v rámci projektovaného Resortního</w:t>
            </w:r>
            <w:r w:rsidR="00D27DF1">
              <w:rPr>
                <w:rFonts w:eastAsia="Times New Roman" w:cs="Arial"/>
                <w:sz w:val="16"/>
                <w:szCs w:val="16"/>
                <w:lang w:eastAsia="cs-CZ"/>
              </w:rPr>
              <w:t xml:space="preserve"> informačního systému, k němuž j</w:t>
            </w:r>
            <w:r w:rsidRPr="00626321">
              <w:rPr>
                <w:rFonts w:eastAsia="Times New Roman" w:cs="Arial"/>
                <w:sz w:val="16"/>
                <w:szCs w:val="16"/>
                <w:lang w:eastAsia="cs-CZ"/>
              </w:rPr>
              <w:t xml:space="preserve">e </w:t>
            </w:r>
            <w:r w:rsidR="00D27DF1">
              <w:rPr>
                <w:rFonts w:eastAsia="Times New Roman" w:cs="Arial"/>
                <w:sz w:val="16"/>
                <w:szCs w:val="16"/>
                <w:lang w:eastAsia="cs-CZ"/>
              </w:rPr>
              <w:t>zpracována</w:t>
            </w:r>
            <w:r w:rsidRPr="00626321">
              <w:rPr>
                <w:rFonts w:eastAsia="Times New Roman" w:cs="Arial"/>
                <w:sz w:val="16"/>
                <w:szCs w:val="16"/>
                <w:lang w:eastAsia="cs-CZ"/>
              </w:rPr>
              <w:t xml:space="preserve"> studie proveditelnosti a je předpokládán k realizační fázi v rámci</w:t>
            </w:r>
            <w:r w:rsidR="00D27DF1">
              <w:rPr>
                <w:rFonts w:eastAsia="Times New Roman" w:cs="Arial"/>
                <w:sz w:val="16"/>
                <w:szCs w:val="16"/>
                <w:lang w:eastAsia="cs-CZ"/>
              </w:rPr>
              <w:t xml:space="preserve"> </w:t>
            </w:r>
            <w:proofErr w:type="gramStart"/>
            <w:r w:rsidR="00D27DF1">
              <w:rPr>
                <w:rFonts w:eastAsia="Times New Roman" w:cs="Arial"/>
                <w:sz w:val="16"/>
                <w:szCs w:val="16"/>
                <w:lang w:eastAsia="cs-CZ"/>
              </w:rPr>
              <w:t>S.C.</w:t>
            </w:r>
            <w:proofErr w:type="gramEnd"/>
            <w:r w:rsidR="00D27DF1">
              <w:rPr>
                <w:rFonts w:eastAsia="Times New Roman" w:cs="Arial"/>
                <w:sz w:val="16"/>
                <w:szCs w:val="16"/>
                <w:lang w:eastAsia="cs-CZ"/>
              </w:rPr>
              <w:t>3.2. IROP v období 2018 – 21</w:t>
            </w:r>
            <w:r w:rsidRPr="00626321">
              <w:rPr>
                <w:rFonts w:eastAsia="Times New Roman" w:cs="Arial"/>
                <w:sz w:val="16"/>
                <w:szCs w:val="16"/>
                <w:lang w:eastAsia="cs-CZ"/>
              </w:rPr>
              <w:t>. V první etapě budování jsou předpokládány hlavně základní funkcionality (rejstřík škol, SIMS, REDOP, statistiky atd.) Cílový stav systému je zahrnout i data vzniklá z vědeckých výzkumů</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626321" w:rsidP="0045041A">
            <w:pPr>
              <w:spacing w:after="0" w:line="240" w:lineRule="auto"/>
              <w:jc w:val="center"/>
              <w:rPr>
                <w:rFonts w:eastAsia="Times New Roman" w:cs="Arial"/>
                <w:sz w:val="16"/>
                <w:szCs w:val="16"/>
                <w:lang w:eastAsia="cs-CZ"/>
              </w:rPr>
            </w:pPr>
            <w:r>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p>
        </w:tc>
      </w:tr>
      <w:tr w:rsidR="007B17FF" w:rsidRPr="00E31FF5" w:rsidTr="007B17FF">
        <w:trPr>
          <w:trHeight w:val="1823"/>
        </w:trPr>
        <w:tc>
          <w:tcPr>
            <w:tcW w:w="1226" w:type="dxa"/>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5.4 Zlepšení informační a poznatkové základny v oblasti využívání DT, rozvíjení DG a IM</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5.4.1 Zajistit lepší dostupnost datové základny z oblasti využívání digitálních technologií ve vzdělávání, rozvíjení digitální gramotnosti a informatického myšlení pro všechny aktéry ve vzdělávání i výzkumu a dobudovat systém získávání, zpracování a prezentaci výsledků výzkumů prostřednictvím veřejné on-line databáze.</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245C40">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7B17FF" w:rsidRDefault="007B17FF" w:rsidP="00245C40">
            <w:pPr>
              <w:spacing w:after="0" w:line="240" w:lineRule="auto"/>
              <w:rPr>
                <w:rFonts w:eastAsia="Times New Roman" w:cs="Arial"/>
                <w:sz w:val="16"/>
                <w:szCs w:val="16"/>
                <w:lang w:eastAsia="cs-CZ"/>
              </w:rPr>
            </w:pPr>
            <w:r w:rsidRPr="00ED0D69">
              <w:rPr>
                <w:rFonts w:eastAsia="Times New Roman" w:cs="Arial"/>
                <w:sz w:val="16"/>
                <w:szCs w:val="16"/>
                <w:lang w:eastAsia="cs-CZ"/>
              </w:rPr>
              <w:t xml:space="preserve">Vytvoření nové veřejně dostupné datové základny popisující využívání, kvalitu a charakter digitálních technologií ve vzdělávání, která bude tvořena volně přístupnými daty sdružovanými v rámci činností ministerstva a jeho podřízených organizací, se předpokládá v rámci projektovaného Resortního informačního systému, k němuž se nyní zpracovává studie proveditelnosti a je předpokládán k realizační fázi v rámci </w:t>
            </w:r>
            <w:proofErr w:type="gramStart"/>
            <w:r w:rsidRPr="00ED0D69">
              <w:rPr>
                <w:rFonts w:eastAsia="Times New Roman" w:cs="Arial"/>
                <w:sz w:val="16"/>
                <w:szCs w:val="16"/>
                <w:lang w:eastAsia="cs-CZ"/>
              </w:rPr>
              <w:t>S.C.</w:t>
            </w:r>
            <w:proofErr w:type="gramEnd"/>
            <w:r w:rsidRPr="00ED0D69">
              <w:rPr>
                <w:rFonts w:eastAsia="Times New Roman" w:cs="Arial"/>
                <w:sz w:val="16"/>
                <w:szCs w:val="16"/>
                <w:lang w:eastAsia="cs-CZ"/>
              </w:rPr>
              <w:t>3.2. IROP v období 2018 – 19. V první etapě budování jsou předpokládány hlavně základní funkcionality (rejstřík škol, SIMS, REDOP, statistiky atd.) Cílový stav systému je zahrnout i data vzniklá z vědeckých výzkumů</w:t>
            </w:r>
          </w:p>
          <w:p w:rsidR="00626321" w:rsidRPr="00626321" w:rsidRDefault="00626321" w:rsidP="00626321">
            <w:pPr>
              <w:spacing w:after="0" w:line="240" w:lineRule="auto"/>
              <w:rPr>
                <w:rFonts w:eastAsia="Times New Roman" w:cs="Arial"/>
                <w:sz w:val="16"/>
                <w:szCs w:val="16"/>
                <w:lang w:eastAsia="cs-CZ"/>
              </w:rPr>
            </w:pPr>
            <w:r w:rsidRPr="00626321">
              <w:rPr>
                <w:rFonts w:eastAsia="Times New Roman" w:cs="Arial"/>
                <w:sz w:val="16"/>
                <w:szCs w:val="16"/>
                <w:lang w:eastAsia="cs-CZ"/>
              </w:rPr>
              <w:t xml:space="preserve">Výzkum v oblasti digitálního vzdělávání bude řešen v rámci opatření Strategie vzdělávací politiky ČR do roku 2020, které se týká výzkumu v oblasti vzdělávání a má termín v roce 2017. </w:t>
            </w:r>
          </w:p>
          <w:p w:rsidR="00626321" w:rsidRPr="00626321" w:rsidRDefault="00626321" w:rsidP="00626321">
            <w:pPr>
              <w:spacing w:after="0" w:line="240" w:lineRule="auto"/>
              <w:rPr>
                <w:rFonts w:eastAsia="Times New Roman" w:cs="Arial"/>
                <w:sz w:val="16"/>
                <w:szCs w:val="16"/>
                <w:lang w:eastAsia="cs-CZ"/>
              </w:rPr>
            </w:pPr>
            <w:r w:rsidRPr="00626321">
              <w:rPr>
                <w:rFonts w:eastAsia="Times New Roman" w:cs="Arial"/>
                <w:sz w:val="16"/>
                <w:szCs w:val="16"/>
                <w:lang w:eastAsia="cs-CZ"/>
              </w:rPr>
              <w:t>Data z resortního výzkumu včetně výzkumu o využívání digitálních technologií ve vzdělávání bude součástí nově budovaného IS MŠMT. Dne 6. 12. 2016 byl na 48. jednání porady vedení MŠMT schválen materiál „Zavedení agendy resortního výzkumu MŠMT“ (č. j.: MSMT-37022/2016-1), poskytující přehled výzkumných priorit MŠMT, jejichž řešení bude v rámci zapojení MŠMT do programu Beta 2 TA ČR poptáváno. Dokument definuje celkem 12 resortních výzkumných potřeb, z nichž byly následně vybrány dvě, které budou v rámci programu Beta 2 v průběhu roku 2017 pilotně iniciovány. Ostatní výzkumné priority budou do programu zařazovány průběžně v následujícím období. Samostatně budou v rámci rezortního výzkumu zadávány potřeby související s naplňováním SDV.</w:t>
            </w:r>
          </w:p>
          <w:p w:rsidR="00626321" w:rsidRPr="00E31FF5" w:rsidRDefault="00626321" w:rsidP="00626321">
            <w:pPr>
              <w:spacing w:after="0" w:line="240" w:lineRule="auto"/>
              <w:rPr>
                <w:rFonts w:eastAsia="Times New Roman" w:cs="Arial"/>
                <w:sz w:val="16"/>
                <w:szCs w:val="16"/>
                <w:lang w:eastAsia="cs-CZ"/>
              </w:rPr>
            </w:pPr>
            <w:r w:rsidRPr="00626321">
              <w:rPr>
                <w:rFonts w:eastAsia="Times New Roman" w:cs="Arial"/>
                <w:sz w:val="16"/>
                <w:szCs w:val="16"/>
                <w:lang w:eastAsia="cs-CZ"/>
              </w:rPr>
              <w:t>Databáze výzkumných prací je vytvářena v IS „Informační systém výzkumu, experimentálního vývoje a inovací“ (</w:t>
            </w:r>
            <w:proofErr w:type="spellStart"/>
            <w:r w:rsidRPr="00626321">
              <w:rPr>
                <w:rFonts w:eastAsia="Times New Roman" w:cs="Arial"/>
                <w:sz w:val="16"/>
                <w:szCs w:val="16"/>
                <w:lang w:eastAsia="cs-CZ"/>
              </w:rPr>
              <w:t>VaVaI</w:t>
            </w:r>
            <w:proofErr w:type="spellEnd"/>
            <w:r w:rsidRPr="00626321">
              <w:rPr>
                <w:rFonts w:eastAsia="Times New Roman" w:cs="Arial"/>
                <w:sz w:val="16"/>
                <w:szCs w:val="16"/>
                <w:lang w:eastAsia="cs-CZ"/>
              </w:rPr>
              <w:t xml:space="preserve">), což je informační systém veřejné správy </w:t>
            </w:r>
            <w:r w:rsidRPr="00626321">
              <w:rPr>
                <w:rFonts w:eastAsia="Times New Roman" w:cs="Arial"/>
                <w:sz w:val="16"/>
                <w:szCs w:val="16"/>
                <w:lang w:eastAsia="cs-CZ"/>
              </w:rPr>
              <w:lastRenderedPageBreak/>
              <w:t>zajišťující shromažďování, dat o výzkumu, vývoji a inovacích podporovaných z veřejných prostředků. IS spravuje Úřad vlády ČR, sekce místopředsedy pro vědu, výzkum a inovace</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lastRenderedPageBreak/>
              <w:t>31.12.2017</w:t>
            </w:r>
            <w:proofErr w:type="gramEnd"/>
          </w:p>
        </w:tc>
        <w:tc>
          <w:tcPr>
            <w:tcW w:w="2835" w:type="dxa"/>
            <w:tcBorders>
              <w:top w:val="nil"/>
              <w:left w:val="nil"/>
              <w:bottom w:val="single" w:sz="4" w:space="0" w:color="auto"/>
              <w:right w:val="single" w:sz="4" w:space="0" w:color="auto"/>
            </w:tcBorders>
            <w:shd w:val="clear" w:color="auto" w:fill="auto"/>
            <w:hideMark/>
          </w:tcPr>
          <w:p w:rsidR="007B17FF" w:rsidRDefault="007B17FF" w:rsidP="0045041A">
            <w:pPr>
              <w:spacing w:after="0" w:line="240" w:lineRule="auto"/>
              <w:rPr>
                <w:rFonts w:eastAsia="Times New Roman" w:cs="Arial"/>
                <w:sz w:val="16"/>
                <w:szCs w:val="16"/>
                <w:lang w:eastAsia="cs-CZ"/>
              </w:rPr>
            </w:pPr>
          </w:p>
          <w:p w:rsidR="007B17FF" w:rsidRPr="00E31FF5" w:rsidRDefault="007B17FF" w:rsidP="0045041A">
            <w:pPr>
              <w:spacing w:after="0" w:line="240" w:lineRule="auto"/>
              <w:rPr>
                <w:rFonts w:eastAsia="Times New Roman" w:cs="Arial"/>
                <w:sz w:val="16"/>
                <w:szCs w:val="16"/>
                <w:lang w:eastAsia="cs-CZ"/>
              </w:rPr>
            </w:pPr>
          </w:p>
        </w:tc>
      </w:tr>
      <w:tr w:rsidR="007B17FF" w:rsidRPr="00E31FF5" w:rsidTr="007B17FF">
        <w:trPr>
          <w:trHeight w:val="900"/>
        </w:trPr>
        <w:tc>
          <w:tcPr>
            <w:tcW w:w="1226" w:type="dxa"/>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lastRenderedPageBreak/>
              <w:t>5.5 Příprava podmínek pro využití velkých dat ve školství</w:t>
            </w:r>
          </w:p>
        </w:tc>
        <w:tc>
          <w:tcPr>
            <w:tcW w:w="3027" w:type="dxa"/>
            <w:tcBorders>
              <w:top w:val="nil"/>
              <w:left w:val="nil"/>
              <w:bottom w:val="single" w:sz="4" w:space="0" w:color="auto"/>
              <w:right w:val="single" w:sz="4" w:space="0" w:color="auto"/>
            </w:tcBorders>
            <w:shd w:val="clear" w:color="auto" w:fill="auto"/>
            <w:hideMark/>
          </w:tcPr>
          <w:p w:rsidR="007B17FF"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5.5.1 Pracovní skupina připraví návrh legislativního opatření z hlediska ochrany osobních údajů žáků.</w:t>
            </w:r>
          </w:p>
          <w:p w:rsidR="00626321" w:rsidRPr="00626321" w:rsidRDefault="00626321" w:rsidP="00626321">
            <w:pPr>
              <w:spacing w:after="0" w:line="240" w:lineRule="auto"/>
              <w:rPr>
                <w:rFonts w:eastAsia="Times New Roman" w:cs="Arial"/>
                <w:sz w:val="16"/>
                <w:szCs w:val="16"/>
                <w:lang w:eastAsia="cs-CZ"/>
              </w:rPr>
            </w:pPr>
            <w:r w:rsidRPr="00626321">
              <w:rPr>
                <w:rFonts w:eastAsia="Times New Roman" w:cs="Arial"/>
                <w:sz w:val="16"/>
                <w:szCs w:val="16"/>
                <w:lang w:eastAsia="cs-CZ"/>
              </w:rPr>
              <w:t>Návrh na úpravu znění aktivity:</w:t>
            </w:r>
          </w:p>
          <w:p w:rsidR="00626321" w:rsidRPr="00E31FF5" w:rsidRDefault="00626321" w:rsidP="00626321">
            <w:pPr>
              <w:spacing w:after="0" w:line="240" w:lineRule="auto"/>
              <w:rPr>
                <w:rFonts w:eastAsia="Times New Roman" w:cs="Arial"/>
                <w:sz w:val="16"/>
                <w:szCs w:val="16"/>
                <w:lang w:eastAsia="cs-CZ"/>
              </w:rPr>
            </w:pPr>
            <w:r w:rsidRPr="00626321">
              <w:rPr>
                <w:rFonts w:eastAsia="Times New Roman" w:cs="Arial"/>
                <w:sz w:val="16"/>
                <w:szCs w:val="16"/>
                <w:lang w:eastAsia="cs-CZ"/>
              </w:rPr>
              <w:t>Pracovní skupina připraví návrh metodického doporučení pro školy týkající se ochrany osobních údajů žáků pro využití velkých dat ve školství.</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ÚOOÚ</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Omezený pokrok</w:t>
            </w:r>
          </w:p>
          <w:p w:rsidR="007B17FF" w:rsidRDefault="007B17FF" w:rsidP="00902966">
            <w:pPr>
              <w:spacing w:after="0" w:line="240" w:lineRule="auto"/>
              <w:rPr>
                <w:rFonts w:eastAsia="Times New Roman" w:cs="Arial"/>
                <w:sz w:val="16"/>
                <w:szCs w:val="16"/>
                <w:lang w:eastAsia="cs-CZ"/>
              </w:rPr>
            </w:pPr>
            <w:r>
              <w:rPr>
                <w:rFonts w:eastAsia="Times New Roman" w:cs="Arial"/>
                <w:sz w:val="16"/>
                <w:szCs w:val="16"/>
                <w:lang w:eastAsia="cs-CZ"/>
              </w:rPr>
              <w:t>Je připraveno šetření</w:t>
            </w:r>
            <w:r w:rsidRPr="002D6985">
              <w:rPr>
                <w:rFonts w:eastAsia="Times New Roman" w:cs="Arial"/>
                <w:sz w:val="16"/>
                <w:szCs w:val="16"/>
                <w:lang w:eastAsia="cs-CZ"/>
              </w:rPr>
              <w:t xml:space="preserve"> podmínek, způsobu a kontextu využití velkých dat ve školství pro regulatorní ošetření ochrany osobních údajů a ochrany soukromí žáků při využívání online vzdělávacích služeb</w:t>
            </w:r>
            <w:r>
              <w:rPr>
                <w:rFonts w:eastAsia="Times New Roman" w:cs="Arial"/>
                <w:sz w:val="16"/>
                <w:szCs w:val="16"/>
                <w:lang w:eastAsia="cs-CZ"/>
              </w:rPr>
              <w:t>.</w:t>
            </w:r>
          </w:p>
          <w:p w:rsidR="009E0505" w:rsidRPr="009E0505" w:rsidRDefault="009E0505" w:rsidP="009E0505">
            <w:pPr>
              <w:spacing w:after="0" w:line="240" w:lineRule="auto"/>
              <w:rPr>
                <w:rFonts w:eastAsia="Times New Roman" w:cs="Arial"/>
                <w:sz w:val="16"/>
                <w:szCs w:val="16"/>
                <w:lang w:eastAsia="cs-CZ"/>
              </w:rPr>
            </w:pPr>
            <w:r w:rsidRPr="009E0505">
              <w:rPr>
                <w:rFonts w:eastAsia="Times New Roman" w:cs="Arial"/>
                <w:sz w:val="16"/>
                <w:szCs w:val="16"/>
                <w:lang w:eastAsia="cs-CZ"/>
              </w:rPr>
              <w:t>Legislativní dokumenty MŠMT v oblasti ochrany osobních dat žáků nutno sladit s „Nařízení Evropského parlamentu a Rady EU o ochraně fyzických osob v souvislosti se zpracováním osobních údajů příslušnými orgány za účelem prevence, vyšetřování, odhalování či stíhání trestných činů nebo výkonu trestů, o volném pohybu těchto údajů a zrušení rámcového rozhodnutí Rady 2008/977/SV“ z 27. 4. 2016</w:t>
            </w:r>
          </w:p>
          <w:p w:rsidR="009E0505" w:rsidRPr="009E0505" w:rsidRDefault="009E0505" w:rsidP="009E0505">
            <w:pPr>
              <w:spacing w:after="0" w:line="240" w:lineRule="auto"/>
              <w:rPr>
                <w:rFonts w:eastAsia="Times New Roman" w:cs="Arial"/>
                <w:sz w:val="16"/>
                <w:szCs w:val="16"/>
                <w:lang w:eastAsia="cs-CZ"/>
              </w:rPr>
            </w:pPr>
            <w:r w:rsidRPr="009E0505">
              <w:rPr>
                <w:rFonts w:eastAsia="Times New Roman" w:cs="Arial"/>
                <w:sz w:val="16"/>
                <w:szCs w:val="16"/>
                <w:lang w:eastAsia="cs-CZ"/>
              </w:rPr>
              <w:t>MV zadalo analýzu dopadu „Nařízení Evropského parlamentu a Rady EU o ochraně fyzických osob…“v resortu školství. Dosud nezpracováno.</w:t>
            </w:r>
          </w:p>
          <w:p w:rsidR="009E0505" w:rsidRPr="00E31FF5" w:rsidRDefault="009E0505" w:rsidP="009E0505">
            <w:pPr>
              <w:spacing w:after="0" w:line="240" w:lineRule="auto"/>
              <w:rPr>
                <w:rFonts w:eastAsia="Times New Roman" w:cs="Arial"/>
                <w:sz w:val="16"/>
                <w:szCs w:val="16"/>
                <w:lang w:eastAsia="cs-CZ"/>
              </w:rPr>
            </w:pPr>
            <w:r w:rsidRPr="009E0505">
              <w:rPr>
                <w:rFonts w:eastAsia="Times New Roman" w:cs="Arial"/>
                <w:sz w:val="16"/>
                <w:szCs w:val="16"/>
                <w:lang w:eastAsia="cs-CZ"/>
              </w:rPr>
              <w:t>Úřad na ochranu osobních údajů připravuje metodiku pro školy k ochraně osobních údajů žáků (září 2017)</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31.12.2017</w:t>
            </w:r>
            <w:proofErr w:type="gramEnd"/>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bl>
    <w:p w:rsidR="001E4CAC" w:rsidRDefault="001E4CAC" w:rsidP="001E4CAC">
      <w:pPr>
        <w:pStyle w:val="Nadpis2"/>
        <w:numPr>
          <w:ilvl w:val="0"/>
          <w:numId w:val="0"/>
        </w:numPr>
        <w:ind w:left="1080"/>
      </w:pPr>
      <w:bookmarkStart w:id="9" w:name="_Toc469572109"/>
    </w:p>
    <w:p w:rsidR="007C3CF7" w:rsidRDefault="007C3CF7" w:rsidP="007B17FF">
      <w:pPr>
        <w:pStyle w:val="Nadpis2"/>
        <w:ind w:left="1080"/>
      </w:pPr>
      <w:r>
        <w:t>Zajistit systém podporující rozvoj škol v oblasti integrace digitálních technologií do výuky a do života školy.</w:t>
      </w:r>
      <w:bookmarkEnd w:id="9"/>
    </w:p>
    <w:p w:rsidR="00EA061B" w:rsidRDefault="009E0505" w:rsidP="009E0505">
      <w:pPr>
        <w:pStyle w:val="Nadpis3"/>
      </w:pPr>
      <w:r>
        <w:t>Indikátory úspěchu</w:t>
      </w:r>
    </w:p>
    <w:tbl>
      <w:tblPr>
        <w:tblStyle w:val="Mkatabulky"/>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gridCol w:w="11544"/>
      </w:tblGrid>
      <w:tr w:rsidR="009E0505" w:rsidRPr="009E0505" w:rsidTr="009E0505">
        <w:trPr>
          <w:trHeight w:val="509"/>
        </w:trPr>
        <w:tc>
          <w:tcPr>
            <w:tcW w:w="3619" w:type="dxa"/>
            <w:hideMark/>
          </w:tcPr>
          <w:p w:rsidR="009E0505" w:rsidRPr="009E0505" w:rsidRDefault="009E0505" w:rsidP="009E0505">
            <w:pPr>
              <w:jc w:val="left"/>
            </w:pPr>
            <w:r w:rsidRPr="009E0505">
              <w:t>6.1 Koordinace podpory digitálního vzdělávání v rezortu MŠMT</w:t>
            </w:r>
          </w:p>
        </w:tc>
        <w:tc>
          <w:tcPr>
            <w:tcW w:w="11544" w:type="dxa"/>
            <w:hideMark/>
          </w:tcPr>
          <w:p w:rsidR="009E0505" w:rsidRDefault="009E0505" w:rsidP="009E0505">
            <w:r w:rsidRPr="009E0505">
              <w:t>Je stanovena zodpovědnost za realizaci strategie a koordinaci aktivit včetně stanovení potřebných pravomocí. Existuje on-line veřejně dostupný a průběžně aktualizovaný přehled aktivit, které MŠMT a OPŘO v dané problematice realizují.</w:t>
            </w:r>
          </w:p>
          <w:p w:rsidR="009E0505" w:rsidRPr="009E0505" w:rsidRDefault="009E0505" w:rsidP="009E0505">
            <w:r w:rsidRPr="009E0505">
              <w:t>Digitální strategie je monitorována, pravidelně vyhodnocována, upravována tak, aby zohledňovala aktuální situaci a důležité trendy v digitálních technologiích ovlivňující vzdělávání.</w:t>
            </w:r>
          </w:p>
        </w:tc>
      </w:tr>
      <w:tr w:rsidR="009E0505" w:rsidRPr="009E0505" w:rsidTr="009E0505">
        <w:trPr>
          <w:trHeight w:val="1350"/>
        </w:trPr>
        <w:tc>
          <w:tcPr>
            <w:tcW w:w="3619" w:type="dxa"/>
            <w:hideMark/>
          </w:tcPr>
          <w:p w:rsidR="009E0505" w:rsidRPr="009E0505" w:rsidRDefault="009E0505" w:rsidP="009E0505">
            <w:pPr>
              <w:jc w:val="left"/>
            </w:pPr>
            <w:r w:rsidRPr="009E0505">
              <w:lastRenderedPageBreak/>
              <w:t>6.2 Rozvoj a aktualizace nástroje Profil Škola21, zavedení nového nástroje Profil Učitel21</w:t>
            </w:r>
          </w:p>
        </w:tc>
        <w:tc>
          <w:tcPr>
            <w:tcW w:w="11544" w:type="dxa"/>
            <w:hideMark/>
          </w:tcPr>
          <w:p w:rsidR="009E0505" w:rsidRPr="009E0505" w:rsidRDefault="009E0505" w:rsidP="009E0505">
            <w:r w:rsidRPr="009E0505">
              <w:t>Existuje difuzní model integrace digitálních technologií do práce učitele, který je ve formě on-line aplikace zdarma dostupný k využití všem pedagogickým pracovníkům na Metodickém portálu RVP.CZ.</w:t>
            </w:r>
          </w:p>
        </w:tc>
      </w:tr>
      <w:tr w:rsidR="009E0505" w:rsidRPr="009E0505" w:rsidTr="009E0505">
        <w:trPr>
          <w:trHeight w:val="2250"/>
        </w:trPr>
        <w:tc>
          <w:tcPr>
            <w:tcW w:w="3619" w:type="dxa"/>
            <w:hideMark/>
          </w:tcPr>
          <w:p w:rsidR="009E0505" w:rsidRPr="009E0505" w:rsidRDefault="009E0505" w:rsidP="009E0505">
            <w:pPr>
              <w:jc w:val="left"/>
            </w:pPr>
            <w:r w:rsidRPr="009E0505">
              <w:t>6.3 Podpora ICT metodiků a jejich práce</w:t>
            </w:r>
          </w:p>
        </w:tc>
        <w:tc>
          <w:tcPr>
            <w:tcW w:w="11544" w:type="dxa"/>
            <w:hideMark/>
          </w:tcPr>
          <w:p w:rsidR="009E0505" w:rsidRPr="009E0505" w:rsidRDefault="009E0505" w:rsidP="009E0505">
            <w:r w:rsidRPr="009E0505">
              <w:t>ICT koordinátor, resp. ICT metodik je klíčovou a fungující pozicí v procesu integrace technologií do života školy v naprosté většině škol. Příslušné kvalifikační předpoklady pro výkon této funkce je možné kromě specializačního studia získat i jinak a kvalifikaci si ověřit složením zkoušky dle hodnoticího standardu NSK. Vedení škol chápou rozdíl mezi ICT správcem a ICT metodikem, resp. ICT koordinátorem, výklad této terminologie je jednotný (úprava legislativy) a pedagogickou veřejností konsenzuálně přijímán. Osobám pověřeným výkonem funkce ICT metodika je nabízena možnost dalšího vzdělávání, které navazuje na absolvované kvalifikační stadium.</w:t>
            </w:r>
          </w:p>
        </w:tc>
      </w:tr>
      <w:tr w:rsidR="009E0505" w:rsidRPr="009E0505" w:rsidTr="009E0505">
        <w:trPr>
          <w:trHeight w:val="1350"/>
        </w:trPr>
        <w:tc>
          <w:tcPr>
            <w:tcW w:w="3619" w:type="dxa"/>
            <w:hideMark/>
          </w:tcPr>
          <w:p w:rsidR="009E0505" w:rsidRPr="009E0505" w:rsidRDefault="009E0505" w:rsidP="009E0505">
            <w:pPr>
              <w:jc w:val="left"/>
            </w:pPr>
            <w:r w:rsidRPr="009E0505">
              <w:t>6.4 Metodická podpora začleňování digitálních technologií do výuky a do života školy</w:t>
            </w:r>
          </w:p>
        </w:tc>
        <w:tc>
          <w:tcPr>
            <w:tcW w:w="11544" w:type="dxa"/>
            <w:hideMark/>
          </w:tcPr>
          <w:p w:rsidR="009E0505" w:rsidRPr="009E0505" w:rsidRDefault="009E0505" w:rsidP="009E0505">
            <w:r w:rsidRPr="009E0505">
              <w:t>Pro podporu modernizace výuky jsou učitelům k dispozici příklady aktivit, vzdělávací programy a metodické postupy integrující technologie do výuky (nestačí technologie pouze používat, je třeba je skutečně integrovat do vyučování).</w:t>
            </w:r>
            <w:r w:rsidRPr="009E0505">
              <w:br/>
              <w:t>Vedoucím pracovníkům ve školství jsou k dispozici volně přístupné metodické materiály a vzdělávací nabídky zprostředkovávající nejlepší zkušenosti strategického plánování, řízení změny a sdílení vize při implementaci digitálních technologií do života školy.</w:t>
            </w:r>
          </w:p>
        </w:tc>
      </w:tr>
      <w:tr w:rsidR="009E0505" w:rsidRPr="009E0505" w:rsidTr="009E0505">
        <w:trPr>
          <w:trHeight w:val="1488"/>
        </w:trPr>
        <w:tc>
          <w:tcPr>
            <w:tcW w:w="3619" w:type="dxa"/>
            <w:hideMark/>
          </w:tcPr>
          <w:p w:rsidR="009E0505" w:rsidRPr="009E0505" w:rsidRDefault="009E0505" w:rsidP="009E0505">
            <w:pPr>
              <w:jc w:val="left"/>
            </w:pPr>
            <w:r w:rsidRPr="009E0505">
              <w:t>6.5 Odborná a metodická podpora rozvoje infrastruktury digitálního prostředí škol pro zřizovatele a vedení škol</w:t>
            </w:r>
          </w:p>
        </w:tc>
        <w:tc>
          <w:tcPr>
            <w:tcW w:w="11544" w:type="dxa"/>
            <w:hideMark/>
          </w:tcPr>
          <w:p w:rsidR="009E0505" w:rsidRPr="009E0505" w:rsidRDefault="009E0505" w:rsidP="009E0505">
            <w:r w:rsidRPr="009E0505">
              <w:t>Pro školy je zdarma k dispozici soubor metodicky formulovaných návodů (HW, SW, konektivita, infrastruktura, procesy atp.), jejichž využití vychází z moderních ICT standardů a umožňuje vedení škol soustředit se na důležité a kritické parametry technologických řešení rozšiřování digitálního zázemí škol.</w:t>
            </w:r>
          </w:p>
        </w:tc>
      </w:tr>
      <w:tr w:rsidR="009E0505" w:rsidRPr="009E0505" w:rsidTr="009E0505">
        <w:trPr>
          <w:trHeight w:val="1125"/>
        </w:trPr>
        <w:tc>
          <w:tcPr>
            <w:tcW w:w="3619" w:type="dxa"/>
            <w:hideMark/>
          </w:tcPr>
          <w:p w:rsidR="009E0505" w:rsidRPr="009E0505" w:rsidRDefault="009E0505" w:rsidP="009E0505">
            <w:pPr>
              <w:jc w:val="left"/>
            </w:pPr>
            <w:r w:rsidRPr="009E0505">
              <w:t>6.6 Zřízení sítě ICT metodiků na úrovni kraje, příp. obce</w:t>
            </w:r>
          </w:p>
        </w:tc>
        <w:tc>
          <w:tcPr>
            <w:tcW w:w="11544" w:type="dxa"/>
            <w:hideMark/>
          </w:tcPr>
          <w:p w:rsidR="009E0505" w:rsidRPr="009E0505" w:rsidRDefault="009E0505" w:rsidP="009E0505">
            <w:r w:rsidRPr="009E0505">
              <w:t>Na úrovni kraje, případně ORP, působí odborník v pozici ICT metodika. Školy a další aktéři vzdělávání jsou o tomto pracovníkovi podpory informováni, obracejí se na něj a koordinují s jeho pomocí rozvoj digitálních technologií. Pozice krajského metodika umožňuje MŠMT efektivněji realizovat plošnou podporu digitálního vzdělávání.</w:t>
            </w:r>
          </w:p>
        </w:tc>
      </w:tr>
    </w:tbl>
    <w:tbl>
      <w:tblPr>
        <w:tblW w:w="15309" w:type="dxa"/>
        <w:tblInd w:w="-5" w:type="dxa"/>
        <w:tblLayout w:type="fixed"/>
        <w:tblCellMar>
          <w:left w:w="70" w:type="dxa"/>
          <w:right w:w="70" w:type="dxa"/>
        </w:tblCellMar>
        <w:tblLook w:val="04A0" w:firstRow="1" w:lastRow="0" w:firstColumn="1" w:lastColumn="0" w:noHBand="0" w:noVBand="1"/>
      </w:tblPr>
      <w:tblGrid>
        <w:gridCol w:w="1226"/>
        <w:gridCol w:w="3027"/>
        <w:gridCol w:w="992"/>
        <w:gridCol w:w="5954"/>
        <w:gridCol w:w="1275"/>
        <w:gridCol w:w="2835"/>
      </w:tblGrid>
      <w:tr w:rsidR="007B17FF" w:rsidRPr="000E6580" w:rsidTr="000E6580">
        <w:trPr>
          <w:trHeight w:val="810"/>
          <w:tblHeader/>
        </w:trPr>
        <w:tc>
          <w:tcPr>
            <w:tcW w:w="1226" w:type="dxa"/>
            <w:tcBorders>
              <w:top w:val="single" w:sz="4" w:space="0" w:color="auto"/>
              <w:left w:val="single" w:sz="4" w:space="0" w:color="auto"/>
              <w:bottom w:val="single" w:sz="4" w:space="0" w:color="auto"/>
              <w:right w:val="single" w:sz="4" w:space="0" w:color="auto"/>
            </w:tcBorders>
            <w:shd w:val="clear" w:color="auto" w:fill="92D05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lastRenderedPageBreak/>
              <w:t>Opatření</w:t>
            </w:r>
          </w:p>
        </w:tc>
        <w:tc>
          <w:tcPr>
            <w:tcW w:w="3027" w:type="dxa"/>
            <w:tcBorders>
              <w:top w:val="single" w:sz="4" w:space="0" w:color="auto"/>
              <w:left w:val="nil"/>
              <w:bottom w:val="single" w:sz="4" w:space="0" w:color="auto"/>
              <w:right w:val="single" w:sz="4" w:space="0" w:color="auto"/>
            </w:tcBorders>
            <w:shd w:val="clear" w:color="auto" w:fill="92D05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Aktivity</w:t>
            </w:r>
          </w:p>
        </w:tc>
        <w:tc>
          <w:tcPr>
            <w:tcW w:w="992" w:type="dxa"/>
            <w:tcBorders>
              <w:top w:val="single" w:sz="4" w:space="0" w:color="auto"/>
              <w:left w:val="nil"/>
              <w:bottom w:val="single" w:sz="4" w:space="0" w:color="auto"/>
              <w:right w:val="single" w:sz="4" w:space="0" w:color="auto"/>
            </w:tcBorders>
            <w:shd w:val="clear" w:color="auto" w:fill="92D05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Návrh realizace v SDV</w:t>
            </w:r>
          </w:p>
        </w:tc>
        <w:tc>
          <w:tcPr>
            <w:tcW w:w="5954" w:type="dxa"/>
            <w:tcBorders>
              <w:top w:val="single" w:sz="4" w:space="0" w:color="auto"/>
              <w:left w:val="nil"/>
              <w:bottom w:val="single" w:sz="4" w:space="0" w:color="auto"/>
              <w:right w:val="single" w:sz="4" w:space="0" w:color="auto"/>
            </w:tcBorders>
            <w:shd w:val="clear" w:color="auto" w:fill="92D050"/>
            <w:hideMark/>
          </w:tcPr>
          <w:p w:rsidR="007B17FF" w:rsidRPr="000E6580" w:rsidRDefault="000E6580"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Stav plnění, návrh na úpravy znění</w:t>
            </w:r>
          </w:p>
        </w:tc>
        <w:tc>
          <w:tcPr>
            <w:tcW w:w="1275" w:type="dxa"/>
            <w:tcBorders>
              <w:top w:val="single" w:sz="4" w:space="0" w:color="auto"/>
              <w:left w:val="nil"/>
              <w:bottom w:val="single" w:sz="4" w:space="0" w:color="auto"/>
              <w:right w:val="single" w:sz="4" w:space="0" w:color="auto"/>
            </w:tcBorders>
            <w:shd w:val="clear" w:color="auto" w:fill="92D05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Termín (SDV)</w:t>
            </w:r>
          </w:p>
        </w:tc>
        <w:tc>
          <w:tcPr>
            <w:tcW w:w="2835" w:type="dxa"/>
            <w:tcBorders>
              <w:top w:val="single" w:sz="4" w:space="0" w:color="auto"/>
              <w:left w:val="nil"/>
              <w:bottom w:val="single" w:sz="4" w:space="0" w:color="auto"/>
              <w:right w:val="single" w:sz="4" w:space="0" w:color="auto"/>
            </w:tcBorders>
            <w:shd w:val="clear" w:color="auto" w:fill="92D050"/>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Změna termínu + důvod</w:t>
            </w:r>
          </w:p>
        </w:tc>
      </w:tr>
      <w:tr w:rsidR="007B17FF" w:rsidRPr="00E31FF5" w:rsidTr="007B17FF">
        <w:trPr>
          <w:trHeight w:val="900"/>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6.1 Koordinace podpory digitálního vzdělávání v rezortu MŠMT</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6.1.1 Vznik gesčního útvaru zodpovědného za realizaci a koordinaci aktivit Strategie digitálního vzdělávání.</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320AF3" w:rsidP="000A2B05">
            <w:pPr>
              <w:spacing w:after="0" w:line="240" w:lineRule="auto"/>
              <w:rPr>
                <w:rFonts w:eastAsia="Times New Roman" w:cs="Arial"/>
                <w:b/>
                <w:sz w:val="16"/>
                <w:szCs w:val="16"/>
                <w:lang w:eastAsia="cs-CZ"/>
              </w:rPr>
            </w:pPr>
            <w:r>
              <w:rPr>
                <w:rFonts w:eastAsia="Times New Roman" w:cs="Arial"/>
                <w:b/>
                <w:sz w:val="16"/>
                <w:szCs w:val="16"/>
                <w:lang w:eastAsia="cs-CZ"/>
              </w:rPr>
              <w:t>Pokrok</w:t>
            </w:r>
          </w:p>
          <w:p w:rsidR="009D6957" w:rsidRPr="009D6957" w:rsidRDefault="007B17FF" w:rsidP="009D6957">
            <w:pPr>
              <w:spacing w:after="0" w:line="240" w:lineRule="auto"/>
              <w:rPr>
                <w:rFonts w:eastAsia="Times New Roman" w:cs="Arial"/>
                <w:sz w:val="16"/>
                <w:szCs w:val="16"/>
                <w:lang w:eastAsia="cs-CZ"/>
              </w:rPr>
            </w:pPr>
            <w:r>
              <w:rPr>
                <w:rFonts w:eastAsia="Times New Roman" w:cs="Arial"/>
                <w:sz w:val="16"/>
                <w:szCs w:val="16"/>
                <w:lang w:eastAsia="cs-CZ"/>
              </w:rPr>
              <w:t>Gesční útvar ustanoven, pracuje.</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320AF3" w:rsidP="0045041A">
            <w:pPr>
              <w:spacing w:after="0" w:line="240" w:lineRule="auto"/>
              <w:jc w:val="center"/>
              <w:rPr>
                <w:rFonts w:eastAsia="Times New Roman" w:cs="Arial"/>
                <w:sz w:val="16"/>
                <w:szCs w:val="16"/>
                <w:lang w:eastAsia="cs-CZ"/>
              </w:rPr>
            </w:pPr>
            <w:r>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7B17FF"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r>
              <w:rPr>
                <w:rFonts w:eastAsia="Times New Roman" w:cs="Arial"/>
                <w:sz w:val="16"/>
                <w:szCs w:val="16"/>
                <w:lang w:eastAsia="cs-CZ"/>
              </w:rPr>
              <w:t>Průběžně</w:t>
            </w:r>
          </w:p>
          <w:p w:rsidR="007B17FF" w:rsidRPr="00E31FF5" w:rsidRDefault="007B17FF" w:rsidP="0045041A">
            <w:pPr>
              <w:spacing w:after="0" w:line="240" w:lineRule="auto"/>
              <w:rPr>
                <w:rFonts w:eastAsia="Times New Roman" w:cs="Arial"/>
                <w:sz w:val="16"/>
                <w:szCs w:val="16"/>
                <w:lang w:eastAsia="cs-CZ"/>
              </w:rPr>
            </w:pPr>
            <w:r>
              <w:rPr>
                <w:rFonts w:eastAsia="Times New Roman" w:cs="Arial"/>
                <w:sz w:val="16"/>
                <w:szCs w:val="16"/>
                <w:lang w:eastAsia="cs-CZ"/>
              </w:rPr>
              <w:t>S ohledem na návrh úpravy znění</w:t>
            </w:r>
          </w:p>
        </w:tc>
      </w:tr>
      <w:tr w:rsidR="007B17FF" w:rsidRPr="00E31FF5" w:rsidTr="007B17FF">
        <w:trPr>
          <w:trHeight w:val="1526"/>
        </w:trPr>
        <w:tc>
          <w:tcPr>
            <w:tcW w:w="1226" w:type="dxa"/>
            <w:vMerge/>
            <w:tcBorders>
              <w:top w:val="nil"/>
              <w:left w:val="single" w:sz="4" w:space="0" w:color="auto"/>
              <w:bottom w:val="single" w:sz="4" w:space="0" w:color="auto"/>
              <w:right w:val="single" w:sz="4" w:space="0" w:color="auto"/>
            </w:tcBorders>
            <w:vAlign w:val="center"/>
            <w:hideMark/>
          </w:tcPr>
          <w:p w:rsidR="007B17FF" w:rsidRPr="00E31FF5"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6.1.2 Monitoring hlavních aktivit Strategie digitálního vzdělávání, zveřejnění on-line jejich přehledu a iniciace pravidelného setkávání zainteresovaných pracovníků MŠMT, OPŘO, expertů a zástupců dalších resortů pro meziresortní koordinaci problematiky digitálního vzdělávání.</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7B17FF" w:rsidRDefault="007B17FF" w:rsidP="0045041A">
            <w:pPr>
              <w:spacing w:after="0" w:line="240" w:lineRule="auto"/>
              <w:rPr>
                <w:rFonts w:eastAsia="Times New Roman" w:cs="Arial"/>
                <w:sz w:val="16"/>
                <w:szCs w:val="16"/>
                <w:lang w:eastAsia="cs-CZ"/>
              </w:rPr>
            </w:pPr>
            <w:r>
              <w:rPr>
                <w:rFonts w:eastAsia="Times New Roman" w:cs="Arial"/>
                <w:sz w:val="16"/>
                <w:szCs w:val="16"/>
                <w:lang w:eastAsia="cs-CZ"/>
              </w:rPr>
              <w:t xml:space="preserve">Aktivity jsou monitorovány. Byl ustanoven </w:t>
            </w:r>
            <w:r w:rsidR="008052F2">
              <w:rPr>
                <w:rFonts w:eastAsia="Times New Roman" w:cs="Arial"/>
                <w:sz w:val="16"/>
                <w:szCs w:val="16"/>
                <w:lang w:eastAsia="cs-CZ"/>
              </w:rPr>
              <w:t>Řídicí</w:t>
            </w:r>
            <w:r>
              <w:rPr>
                <w:rFonts w:eastAsia="Times New Roman" w:cs="Arial"/>
                <w:sz w:val="16"/>
                <w:szCs w:val="16"/>
                <w:lang w:eastAsia="cs-CZ"/>
              </w:rPr>
              <w:t xml:space="preserve"> výbor SDV (ŘV), jeho členy jsou gestoři jednotlivých aktivit SDV, pravidelně se konají jednání ŘV, jednání se účastní další zainteresovaní pracovníci MŠMT, OPŘO, </w:t>
            </w:r>
            <w:r w:rsidR="006753C3">
              <w:rPr>
                <w:rFonts w:eastAsia="Times New Roman" w:cs="Arial"/>
                <w:sz w:val="16"/>
                <w:szCs w:val="16"/>
                <w:lang w:eastAsia="cs-CZ"/>
              </w:rPr>
              <w:t xml:space="preserve">ČŠI </w:t>
            </w:r>
            <w:r>
              <w:rPr>
                <w:rFonts w:eastAsia="Times New Roman" w:cs="Arial"/>
                <w:sz w:val="16"/>
                <w:szCs w:val="16"/>
                <w:lang w:eastAsia="cs-CZ"/>
              </w:rPr>
              <w:t>a zástupci</w:t>
            </w:r>
            <w:r w:rsidRPr="00E31FF5">
              <w:rPr>
                <w:rFonts w:eastAsia="Times New Roman" w:cs="Arial"/>
                <w:sz w:val="16"/>
                <w:szCs w:val="16"/>
                <w:lang w:eastAsia="cs-CZ"/>
              </w:rPr>
              <w:t xml:space="preserve"> dalších resortů pro meziresortní koordinaci problematiky digitálního vzdělávání</w:t>
            </w:r>
            <w:r>
              <w:rPr>
                <w:rFonts w:eastAsia="Times New Roman" w:cs="Arial"/>
                <w:sz w:val="16"/>
                <w:szCs w:val="16"/>
                <w:lang w:eastAsia="cs-CZ"/>
              </w:rPr>
              <w:t>.</w:t>
            </w:r>
          </w:p>
          <w:p w:rsidR="00E923E7" w:rsidRDefault="00E923E7" w:rsidP="0045041A">
            <w:pPr>
              <w:spacing w:after="0" w:line="240" w:lineRule="auto"/>
              <w:rPr>
                <w:rFonts w:eastAsia="Times New Roman" w:cs="Arial"/>
                <w:sz w:val="16"/>
                <w:szCs w:val="16"/>
                <w:lang w:eastAsia="cs-CZ"/>
              </w:rPr>
            </w:pPr>
            <w:r>
              <w:rPr>
                <w:rFonts w:eastAsia="Times New Roman" w:cs="Arial"/>
                <w:sz w:val="16"/>
                <w:szCs w:val="16"/>
                <w:lang w:eastAsia="cs-CZ"/>
              </w:rPr>
              <w:t>Připravuje se revize SDV.</w:t>
            </w:r>
          </w:p>
          <w:p w:rsidR="007B17FF" w:rsidRDefault="007B17FF" w:rsidP="0045041A">
            <w:pPr>
              <w:spacing w:after="0" w:line="240" w:lineRule="auto"/>
              <w:rPr>
                <w:rFonts w:eastAsia="Times New Roman" w:cs="Arial"/>
                <w:sz w:val="16"/>
                <w:szCs w:val="16"/>
                <w:lang w:eastAsia="cs-CZ"/>
              </w:rPr>
            </w:pPr>
            <w:r>
              <w:rPr>
                <w:rFonts w:eastAsia="Times New Roman" w:cs="Arial"/>
                <w:sz w:val="16"/>
                <w:szCs w:val="16"/>
                <w:lang w:eastAsia="cs-CZ"/>
              </w:rPr>
              <w:t>Na webových stránkách SDV (</w:t>
            </w:r>
            <w:hyperlink r:id="rId17" w:history="1">
              <w:r w:rsidRPr="000C77C1">
                <w:rPr>
                  <w:rStyle w:val="Hypertextovodkaz"/>
                  <w:rFonts w:eastAsia="Times New Roman" w:cs="Arial"/>
                  <w:sz w:val="16"/>
                  <w:szCs w:val="16"/>
                  <w:lang w:eastAsia="cs-CZ"/>
                </w:rPr>
                <w:t>http://www.msmt.cz/vzdelavani/skolstvi-v-cr/strategie-digitalniho-vzdelavani-do-roku-2020</w:t>
              </w:r>
            </w:hyperlink>
            <w:r w:rsidRPr="005C6DCF">
              <w:rPr>
                <w:rFonts w:eastAsia="Times New Roman" w:cs="Arial"/>
                <w:sz w:val="16"/>
                <w:szCs w:val="16"/>
                <w:lang w:eastAsia="cs-CZ"/>
              </w:rPr>
              <w:t>)</w:t>
            </w:r>
            <w:r>
              <w:rPr>
                <w:rFonts w:eastAsia="Times New Roman" w:cs="Arial"/>
                <w:sz w:val="16"/>
                <w:szCs w:val="16"/>
                <w:lang w:eastAsia="cs-CZ"/>
              </w:rPr>
              <w:t xml:space="preserve"> je pravidelně uveřejňován stav realizace SDV.</w:t>
            </w:r>
          </w:p>
          <w:p w:rsidR="009D6957" w:rsidRPr="009D6957" w:rsidRDefault="009D6957" w:rsidP="009D6957">
            <w:pPr>
              <w:spacing w:after="0" w:line="240" w:lineRule="auto"/>
              <w:rPr>
                <w:rFonts w:eastAsia="Times New Roman" w:cs="Arial"/>
                <w:sz w:val="16"/>
                <w:szCs w:val="16"/>
                <w:lang w:eastAsia="cs-CZ"/>
              </w:rPr>
            </w:pPr>
            <w:r w:rsidRPr="009D6957">
              <w:rPr>
                <w:rFonts w:eastAsia="Times New Roman" w:cs="Arial"/>
                <w:sz w:val="16"/>
                <w:szCs w:val="16"/>
                <w:lang w:eastAsia="cs-CZ"/>
              </w:rPr>
              <w:t>Pravidelné setkávání pracovníků MŠMT, OPŘO, expertů pro mezirezortní koordinaci – plněno průběžně:</w:t>
            </w:r>
          </w:p>
          <w:p w:rsidR="009D6957" w:rsidRPr="009D6957" w:rsidRDefault="009D6957" w:rsidP="00246A0B">
            <w:pPr>
              <w:pStyle w:val="Odstavecseseznamem"/>
              <w:numPr>
                <w:ilvl w:val="0"/>
                <w:numId w:val="19"/>
              </w:numPr>
              <w:spacing w:after="0" w:line="240" w:lineRule="auto"/>
              <w:rPr>
                <w:rFonts w:eastAsia="Times New Roman" w:cs="Arial"/>
                <w:sz w:val="16"/>
                <w:szCs w:val="16"/>
                <w:lang w:eastAsia="cs-CZ"/>
              </w:rPr>
            </w:pPr>
            <w:r w:rsidRPr="009D6957">
              <w:rPr>
                <w:rFonts w:eastAsia="Times New Roman" w:cs="Arial"/>
                <w:sz w:val="16"/>
                <w:szCs w:val="16"/>
                <w:lang w:eastAsia="cs-CZ"/>
              </w:rPr>
              <w:t>MŠMT, OPŘO, experti – pravidelně</w:t>
            </w:r>
          </w:p>
          <w:p w:rsidR="009D6957" w:rsidRDefault="009D6957" w:rsidP="00246A0B">
            <w:pPr>
              <w:pStyle w:val="Odstavecseseznamem"/>
              <w:numPr>
                <w:ilvl w:val="0"/>
                <w:numId w:val="19"/>
              </w:numPr>
              <w:spacing w:after="0" w:line="240" w:lineRule="auto"/>
              <w:rPr>
                <w:rFonts w:eastAsia="Times New Roman" w:cs="Arial"/>
                <w:sz w:val="16"/>
                <w:szCs w:val="16"/>
                <w:lang w:eastAsia="cs-CZ"/>
              </w:rPr>
            </w:pPr>
            <w:r w:rsidRPr="009D6957">
              <w:rPr>
                <w:rFonts w:eastAsia="Times New Roman" w:cs="Arial"/>
                <w:sz w:val="16"/>
                <w:szCs w:val="16"/>
                <w:lang w:eastAsia="cs-CZ"/>
              </w:rPr>
              <w:t>Meziresortně – dle potřeby</w:t>
            </w:r>
          </w:p>
          <w:p w:rsidR="009D6957" w:rsidRPr="00E31FF5" w:rsidRDefault="009D6957" w:rsidP="00246A0B">
            <w:pPr>
              <w:pStyle w:val="Odstavecseseznamem"/>
              <w:numPr>
                <w:ilvl w:val="0"/>
                <w:numId w:val="19"/>
              </w:numPr>
              <w:spacing w:after="0" w:line="240" w:lineRule="auto"/>
              <w:rPr>
                <w:rFonts w:eastAsia="Times New Roman" w:cs="Arial"/>
                <w:sz w:val="16"/>
                <w:szCs w:val="16"/>
                <w:lang w:eastAsia="cs-CZ"/>
              </w:rPr>
            </w:pPr>
            <w:r w:rsidRPr="009D6957">
              <w:rPr>
                <w:rFonts w:eastAsia="Times New Roman" w:cs="Arial"/>
                <w:sz w:val="16"/>
                <w:szCs w:val="16"/>
                <w:lang w:eastAsia="cs-CZ"/>
              </w:rPr>
              <w:t xml:space="preserve">V rámci </w:t>
            </w:r>
            <w:proofErr w:type="spellStart"/>
            <w:r w:rsidRPr="009D6957">
              <w:rPr>
                <w:rFonts w:eastAsia="Times New Roman" w:cs="Arial"/>
                <w:sz w:val="16"/>
                <w:szCs w:val="16"/>
                <w:lang w:eastAsia="cs-CZ"/>
              </w:rPr>
              <w:t>Digikoalice</w:t>
            </w:r>
            <w:proofErr w:type="spellEnd"/>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31.12.2015</w:t>
            </w:r>
            <w:proofErr w:type="gramEnd"/>
            <w:r w:rsidRPr="00E31FF5">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B17FF">
        <w:trPr>
          <w:trHeight w:val="675"/>
        </w:trPr>
        <w:tc>
          <w:tcPr>
            <w:tcW w:w="1226" w:type="dxa"/>
            <w:vMerge/>
            <w:tcBorders>
              <w:top w:val="nil"/>
              <w:left w:val="single" w:sz="4" w:space="0" w:color="auto"/>
              <w:bottom w:val="single" w:sz="4" w:space="0" w:color="auto"/>
              <w:right w:val="single" w:sz="4" w:space="0" w:color="auto"/>
            </w:tcBorders>
            <w:vAlign w:val="center"/>
            <w:hideMark/>
          </w:tcPr>
          <w:p w:rsidR="007B17FF" w:rsidRPr="00E31FF5"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6.1.3 Zajištění metodického vedení ICT metodiků na úrovni kraje, příp. ORP (viz opatření 6.6)</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7B17FF" w:rsidRPr="009C3828" w:rsidRDefault="007B17FF" w:rsidP="00FB545C">
            <w:pPr>
              <w:spacing w:after="0" w:line="240" w:lineRule="auto"/>
              <w:rPr>
                <w:rFonts w:eastAsia="Times New Roman" w:cs="Arial"/>
                <w:b/>
                <w:sz w:val="16"/>
                <w:szCs w:val="16"/>
                <w:lang w:eastAsia="cs-CZ"/>
              </w:rPr>
            </w:pPr>
            <w:r w:rsidRPr="009C3828">
              <w:rPr>
                <w:rFonts w:eastAsia="Times New Roman" w:cs="Arial"/>
                <w:b/>
                <w:sz w:val="16"/>
                <w:szCs w:val="16"/>
                <w:lang w:eastAsia="cs-CZ"/>
              </w:rPr>
              <w:t>Omezený pokrok</w:t>
            </w:r>
          </w:p>
          <w:p w:rsidR="007B17FF" w:rsidRPr="009C3828" w:rsidRDefault="007B17FF" w:rsidP="00FB545C">
            <w:pPr>
              <w:spacing w:after="0" w:line="240" w:lineRule="auto"/>
              <w:rPr>
                <w:rFonts w:eastAsia="Times New Roman" w:cs="Arial"/>
                <w:sz w:val="16"/>
                <w:szCs w:val="16"/>
                <w:lang w:eastAsia="cs-CZ"/>
              </w:rPr>
            </w:pPr>
            <w:r w:rsidRPr="009C3828">
              <w:rPr>
                <w:rFonts w:eastAsia="Times New Roman" w:cs="Arial"/>
                <w:sz w:val="16"/>
                <w:szCs w:val="16"/>
                <w:lang w:eastAsia="cs-CZ"/>
              </w:rPr>
              <w:t>Byl zpracován dokument „Návrh pro vytvoření systému odborné podpory rozvoje škol v oblasti integrace digitálních technologií do výuky a do života školy“, který mj. obsahoval východiska, cíl a popis činností aktérů na jednotlivých úrovních včetně finanční náročnosti zajištění opatření</w:t>
            </w:r>
          </w:p>
          <w:p w:rsidR="007B17FF" w:rsidRPr="00E31FF5" w:rsidRDefault="007B17FF" w:rsidP="00FB545C">
            <w:pPr>
              <w:spacing w:after="0" w:line="240" w:lineRule="auto"/>
              <w:rPr>
                <w:rFonts w:eastAsia="Times New Roman" w:cs="Arial"/>
                <w:sz w:val="16"/>
                <w:szCs w:val="16"/>
                <w:lang w:eastAsia="cs-CZ"/>
              </w:rPr>
            </w:pPr>
            <w:r w:rsidRPr="009C3828">
              <w:rPr>
                <w:rFonts w:eastAsia="Times New Roman" w:cs="Arial"/>
                <w:sz w:val="16"/>
                <w:szCs w:val="16"/>
                <w:lang w:eastAsia="cs-CZ"/>
              </w:rPr>
              <w:t xml:space="preserve">Zavedení sítě ICT metodiků na krajských pracovištích NIDV včetně ústředního ICT metodika bude řešeno </w:t>
            </w:r>
            <w:r w:rsidR="009C3828">
              <w:rPr>
                <w:rFonts w:eastAsia="Times New Roman" w:cs="Arial"/>
                <w:sz w:val="16"/>
                <w:szCs w:val="16"/>
                <w:lang w:eastAsia="cs-CZ"/>
              </w:rPr>
              <w:t xml:space="preserve">i </w:t>
            </w:r>
            <w:r w:rsidRPr="009C3828">
              <w:rPr>
                <w:rFonts w:eastAsia="Times New Roman" w:cs="Arial"/>
                <w:sz w:val="16"/>
                <w:szCs w:val="16"/>
                <w:lang w:eastAsia="cs-CZ"/>
              </w:rPr>
              <w:t>v rámci IPS IMKA – Implementace kariérního systému</w:t>
            </w:r>
            <w:r w:rsidR="009C3828">
              <w:rPr>
                <w:rFonts w:eastAsia="Times New Roman" w:cs="Arial"/>
                <w:sz w:val="16"/>
                <w:szCs w:val="16"/>
                <w:lang w:eastAsia="cs-CZ"/>
              </w:rPr>
              <w:t>. Další možnosti se hledají.</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9C3828"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w:t>
            </w:r>
            <w:r w:rsidR="009D6957">
              <w:rPr>
                <w:rFonts w:eastAsia="Times New Roman" w:cs="Arial"/>
                <w:sz w:val="16"/>
                <w:szCs w:val="16"/>
                <w:lang w:eastAsia="cs-CZ"/>
              </w:rPr>
              <w:t>. 2018</w:t>
            </w:r>
            <w:proofErr w:type="gramEnd"/>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B17FF">
        <w:trPr>
          <w:trHeight w:val="2110"/>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6.2 Rozvoj a aktualizace nástroje Profil Škola21, zavedení nového nástroje Profil Učitel21</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6.2.1 Tvorba difuzního modelu učitele v podmínkách českých škol na základě standardu digitálních kompetencí učitele (viz opatření 3.1), jeho ověření na pilotních školách, návrh a tvorba on-line aplikace, její umístění do prostředí Metodického portálu RVP.CZ, kde bude společně s Profilem Škola21 provozována. Poskytování informací o Profilu Učitel21, příprava metodické podpory pro užívání nástroje.</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9D6957" w:rsidP="00A72DDE">
            <w:pPr>
              <w:spacing w:after="0" w:line="240" w:lineRule="auto"/>
              <w:rPr>
                <w:rFonts w:eastAsia="Times New Roman" w:cs="Arial"/>
                <w:b/>
                <w:sz w:val="16"/>
                <w:szCs w:val="16"/>
                <w:lang w:eastAsia="cs-CZ"/>
              </w:rPr>
            </w:pPr>
            <w:r>
              <w:rPr>
                <w:rFonts w:eastAsia="Times New Roman" w:cs="Arial"/>
                <w:b/>
                <w:sz w:val="16"/>
                <w:szCs w:val="16"/>
                <w:lang w:eastAsia="cs-CZ"/>
              </w:rPr>
              <w:t>P</w:t>
            </w:r>
            <w:r w:rsidR="007B17FF" w:rsidRPr="00495106">
              <w:rPr>
                <w:rFonts w:eastAsia="Times New Roman" w:cs="Arial"/>
                <w:b/>
                <w:sz w:val="16"/>
                <w:szCs w:val="16"/>
                <w:lang w:eastAsia="cs-CZ"/>
              </w:rPr>
              <w:t>okrok</w:t>
            </w:r>
          </w:p>
          <w:p w:rsidR="007B17FF" w:rsidRPr="00E31FF5" w:rsidRDefault="007B17FF" w:rsidP="008A5516">
            <w:pPr>
              <w:spacing w:after="0" w:line="240" w:lineRule="auto"/>
              <w:rPr>
                <w:rFonts w:eastAsia="Times New Roman" w:cs="Arial"/>
                <w:sz w:val="16"/>
                <w:szCs w:val="16"/>
                <w:lang w:eastAsia="cs-CZ"/>
              </w:rPr>
            </w:pPr>
            <w:r>
              <w:rPr>
                <w:rFonts w:eastAsia="Times New Roman" w:cs="Arial"/>
                <w:sz w:val="16"/>
                <w:szCs w:val="16"/>
                <w:lang w:eastAsia="cs-CZ"/>
              </w:rPr>
              <w:t xml:space="preserve">Profil Učitel 21 bude vytvořen v </w:t>
            </w:r>
            <w:proofErr w:type="spellStart"/>
            <w:r>
              <w:rPr>
                <w:rFonts w:eastAsia="Times New Roman" w:cs="Arial"/>
                <w:sz w:val="16"/>
                <w:szCs w:val="16"/>
                <w:lang w:eastAsia="cs-CZ"/>
              </w:rPr>
              <w:t>IPs</w:t>
            </w:r>
            <w:proofErr w:type="spellEnd"/>
            <w:r w:rsidRPr="008A5516">
              <w:rPr>
                <w:rFonts w:eastAsia="Times New Roman" w:cs="Arial"/>
                <w:sz w:val="16"/>
                <w:szCs w:val="16"/>
                <w:lang w:eastAsia="cs-CZ"/>
              </w:rPr>
              <w:t xml:space="preserve"> „Podpora práce </w:t>
            </w:r>
            <w:r w:rsidR="009C1AC6">
              <w:rPr>
                <w:rFonts w:eastAsia="Times New Roman" w:cs="Arial"/>
                <w:sz w:val="16"/>
                <w:szCs w:val="16"/>
                <w:lang w:eastAsia="cs-CZ"/>
              </w:rPr>
              <w:t>učitelů</w:t>
            </w:r>
            <w:r w:rsidRPr="008A5516">
              <w:rPr>
                <w:rFonts w:eastAsia="Times New Roman" w:cs="Arial"/>
                <w:sz w:val="16"/>
                <w:szCs w:val="16"/>
                <w:lang w:eastAsia="cs-CZ"/>
              </w:rPr>
              <w:t xml:space="preserve">“, který k 1. prosinci 2016 zahájil svou činnost. Během roku probíhala diskuse s gestory novely zákona o pedagogických pracovnících (zákon 563/2004 sb.) o zapracování standardu digitálních kompetencí učitele do standardu učitele, který k novele zákona bude vydán formou vyhlášky. V rámci přípravných prací na </w:t>
            </w:r>
            <w:proofErr w:type="spellStart"/>
            <w:r w:rsidRPr="008A5516">
              <w:rPr>
                <w:rFonts w:eastAsia="Times New Roman" w:cs="Arial"/>
                <w:sz w:val="16"/>
                <w:szCs w:val="16"/>
                <w:lang w:eastAsia="cs-CZ"/>
              </w:rPr>
              <w:t>IPs</w:t>
            </w:r>
            <w:proofErr w:type="spellEnd"/>
            <w:r w:rsidRPr="008A5516">
              <w:rPr>
                <w:rFonts w:eastAsia="Times New Roman" w:cs="Arial"/>
                <w:sz w:val="16"/>
                <w:szCs w:val="16"/>
                <w:lang w:eastAsia="cs-CZ"/>
              </w:rPr>
              <w:t xml:space="preserve"> projektu NÚV vyjmenoval existující nástroje na standardizování digitálních kompetencí učitele jako součást charty projektu </w:t>
            </w:r>
            <w:proofErr w:type="spellStart"/>
            <w:r w:rsidRPr="008A5516">
              <w:rPr>
                <w:rFonts w:eastAsia="Times New Roman" w:cs="Arial"/>
                <w:sz w:val="16"/>
                <w:szCs w:val="16"/>
                <w:lang w:eastAsia="cs-CZ"/>
              </w:rPr>
              <w:t>IPs</w:t>
            </w:r>
            <w:proofErr w:type="spellEnd"/>
            <w:r w:rsidRPr="008A5516">
              <w:rPr>
                <w:rFonts w:eastAsia="Times New Roman" w:cs="Arial"/>
                <w:sz w:val="16"/>
                <w:szCs w:val="16"/>
                <w:lang w:eastAsia="cs-CZ"/>
              </w:rPr>
              <w:t xml:space="preserve"> OP VVV</w:t>
            </w:r>
            <w:r>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31.12.2018</w:t>
            </w:r>
            <w:proofErr w:type="gramEnd"/>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B17FF">
        <w:trPr>
          <w:trHeight w:val="900"/>
        </w:trPr>
        <w:tc>
          <w:tcPr>
            <w:tcW w:w="1226" w:type="dxa"/>
            <w:vMerge/>
            <w:tcBorders>
              <w:top w:val="nil"/>
              <w:left w:val="single" w:sz="4" w:space="0" w:color="auto"/>
              <w:bottom w:val="single" w:sz="4" w:space="0" w:color="auto"/>
              <w:right w:val="single" w:sz="4" w:space="0" w:color="auto"/>
            </w:tcBorders>
            <w:vAlign w:val="center"/>
            <w:hideMark/>
          </w:tcPr>
          <w:p w:rsidR="007B17FF" w:rsidRPr="00E31FF5"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6.2.2 Revize, aktualizace a další rozvoj nástroje strategického řízení rozvoje školy v oblasti digitálních technologií Profil Škola21.</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9D6957" w:rsidP="00A72DDE">
            <w:pPr>
              <w:spacing w:after="0" w:line="240" w:lineRule="auto"/>
              <w:rPr>
                <w:rFonts w:eastAsia="Times New Roman" w:cs="Arial"/>
                <w:b/>
                <w:sz w:val="16"/>
                <w:szCs w:val="16"/>
                <w:lang w:eastAsia="cs-CZ"/>
              </w:rPr>
            </w:pPr>
            <w:r>
              <w:rPr>
                <w:rFonts w:eastAsia="Times New Roman" w:cs="Arial"/>
                <w:b/>
                <w:sz w:val="16"/>
                <w:szCs w:val="16"/>
                <w:lang w:eastAsia="cs-CZ"/>
              </w:rPr>
              <w:t>P</w:t>
            </w:r>
            <w:r w:rsidR="007B17FF" w:rsidRPr="00495106">
              <w:rPr>
                <w:rFonts w:eastAsia="Times New Roman" w:cs="Arial"/>
                <w:b/>
                <w:sz w:val="16"/>
                <w:szCs w:val="16"/>
                <w:lang w:eastAsia="cs-CZ"/>
              </w:rPr>
              <w:t>okrok</w:t>
            </w:r>
          </w:p>
          <w:p w:rsidR="007B17FF" w:rsidRPr="00E31FF5" w:rsidRDefault="007B17FF" w:rsidP="0029595E">
            <w:pPr>
              <w:spacing w:after="0" w:line="240" w:lineRule="auto"/>
              <w:rPr>
                <w:rFonts w:eastAsia="Times New Roman" w:cs="Arial"/>
                <w:sz w:val="16"/>
                <w:szCs w:val="16"/>
                <w:lang w:eastAsia="cs-CZ"/>
              </w:rPr>
            </w:pPr>
            <w:r>
              <w:rPr>
                <w:rFonts w:eastAsia="Times New Roman" w:cs="Arial"/>
                <w:sz w:val="16"/>
                <w:szCs w:val="16"/>
                <w:lang w:eastAsia="cs-CZ"/>
              </w:rPr>
              <w:t>I</w:t>
            </w:r>
            <w:r w:rsidRPr="0029595E">
              <w:rPr>
                <w:rFonts w:eastAsia="Times New Roman" w:cs="Arial"/>
                <w:sz w:val="16"/>
                <w:szCs w:val="16"/>
                <w:lang w:eastAsia="cs-CZ"/>
              </w:rPr>
              <w:t xml:space="preserve">novace Profilu Škola 21 </w:t>
            </w:r>
            <w:r>
              <w:rPr>
                <w:rFonts w:eastAsia="Times New Roman" w:cs="Arial"/>
                <w:sz w:val="16"/>
                <w:szCs w:val="16"/>
                <w:lang w:eastAsia="cs-CZ"/>
              </w:rPr>
              <w:t>je součástí</w:t>
            </w:r>
            <w:r w:rsidRPr="0029595E">
              <w:rPr>
                <w:rFonts w:eastAsia="Times New Roman" w:cs="Arial"/>
                <w:sz w:val="16"/>
                <w:szCs w:val="16"/>
                <w:lang w:eastAsia="cs-CZ"/>
              </w:rPr>
              <w:t xml:space="preserve"> dalších ino</w:t>
            </w:r>
            <w:r>
              <w:rPr>
                <w:rFonts w:eastAsia="Times New Roman" w:cs="Arial"/>
                <w:sz w:val="16"/>
                <w:szCs w:val="16"/>
                <w:lang w:eastAsia="cs-CZ"/>
              </w:rPr>
              <w:t xml:space="preserve">vací Metodického portálu RVP.CZ v </w:t>
            </w:r>
            <w:proofErr w:type="spellStart"/>
            <w:r>
              <w:rPr>
                <w:rFonts w:eastAsia="Times New Roman" w:cs="Arial"/>
                <w:sz w:val="16"/>
                <w:szCs w:val="16"/>
                <w:lang w:eastAsia="cs-CZ"/>
              </w:rPr>
              <w:t>IPs</w:t>
            </w:r>
            <w:proofErr w:type="spellEnd"/>
            <w:r w:rsidRPr="008A5516">
              <w:rPr>
                <w:rFonts w:eastAsia="Times New Roman" w:cs="Arial"/>
                <w:sz w:val="16"/>
                <w:szCs w:val="16"/>
                <w:lang w:eastAsia="cs-CZ"/>
              </w:rPr>
              <w:t xml:space="preserve"> „Podpora práce </w:t>
            </w:r>
            <w:r w:rsidR="009C1AC6">
              <w:rPr>
                <w:rFonts w:eastAsia="Times New Roman" w:cs="Arial"/>
                <w:sz w:val="16"/>
                <w:szCs w:val="16"/>
                <w:lang w:eastAsia="cs-CZ"/>
              </w:rPr>
              <w:t>učitelů</w:t>
            </w:r>
            <w:r w:rsidRPr="008A5516">
              <w:rPr>
                <w:rFonts w:eastAsia="Times New Roman" w:cs="Arial"/>
                <w:sz w:val="16"/>
                <w:szCs w:val="16"/>
                <w:lang w:eastAsia="cs-CZ"/>
              </w:rPr>
              <w:t>“, který k 1. prosinci 2016 zahájil svou činnost.</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31.12.2018</w:t>
            </w:r>
            <w:proofErr w:type="gramEnd"/>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B17FF">
        <w:trPr>
          <w:trHeight w:val="3485"/>
        </w:trPr>
        <w:tc>
          <w:tcPr>
            <w:tcW w:w="1226" w:type="dxa"/>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lastRenderedPageBreak/>
              <w:t>6.3 Podpora ICT metodiků a jejich práce</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xml:space="preserve">6.3.1 Zajištění revize standardu specializačního studia Koordinace v oblasti ICT, uznávání kvalifikace ICT koordinátor/metodik dle hodnoticího standardu NSK (profesní kvalifikace Koordinátor ICT ve školství), podpora nabídky vzdělávacích programů pro ICT koordinátory/metodiky, sjednocení terminologie ICT metodik/koordinátor. Zajištění potřebných kroků, kterými budou uvedeny do praxe další, dříve již iniciovaná doporučení a v různé míře připravená opatření, která vznikla jako výstupy z projektů </w:t>
            </w:r>
            <w:proofErr w:type="spellStart"/>
            <w:r w:rsidRPr="00E31FF5">
              <w:rPr>
                <w:rFonts w:eastAsia="Times New Roman" w:cs="Arial"/>
                <w:sz w:val="16"/>
                <w:szCs w:val="16"/>
                <w:lang w:eastAsia="cs-CZ"/>
              </w:rPr>
              <w:t>IPn</w:t>
            </w:r>
            <w:proofErr w:type="spellEnd"/>
            <w:r w:rsidRPr="00E31FF5">
              <w:rPr>
                <w:rFonts w:eastAsia="Times New Roman" w:cs="Arial"/>
                <w:sz w:val="16"/>
                <w:szCs w:val="16"/>
                <w:lang w:eastAsia="cs-CZ"/>
              </w:rPr>
              <w:t xml:space="preserve"> NSK a </w:t>
            </w:r>
            <w:proofErr w:type="spellStart"/>
            <w:r w:rsidRPr="00E31FF5">
              <w:rPr>
                <w:rFonts w:eastAsia="Times New Roman" w:cs="Arial"/>
                <w:sz w:val="16"/>
                <w:szCs w:val="16"/>
                <w:lang w:eastAsia="cs-CZ"/>
              </w:rPr>
              <w:t>IPo</w:t>
            </w:r>
            <w:proofErr w:type="spellEnd"/>
            <w:r w:rsidRPr="00E31FF5">
              <w:rPr>
                <w:rFonts w:eastAsia="Times New Roman" w:cs="Arial"/>
                <w:sz w:val="16"/>
                <w:szCs w:val="16"/>
                <w:lang w:eastAsia="cs-CZ"/>
              </w:rPr>
              <w:t xml:space="preserve"> Profesionál. Vyhodnocení podpory Operačního programu Vzdělávání pro konkurenceschopnost (zejm. výzvy č. 51) v této oblasti.</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Omezený pokrok</w:t>
            </w:r>
          </w:p>
          <w:p w:rsidR="007B17FF" w:rsidRPr="00E31FF5" w:rsidRDefault="00D42B75" w:rsidP="0029595E">
            <w:pPr>
              <w:spacing w:after="0" w:line="240" w:lineRule="auto"/>
              <w:rPr>
                <w:rFonts w:eastAsia="Times New Roman" w:cs="Arial"/>
                <w:sz w:val="16"/>
                <w:szCs w:val="16"/>
                <w:lang w:eastAsia="cs-CZ"/>
              </w:rPr>
            </w:pPr>
            <w:r w:rsidRPr="00D42B75">
              <w:rPr>
                <w:rFonts w:eastAsia="Times New Roman" w:cs="Arial"/>
                <w:sz w:val="16"/>
                <w:szCs w:val="16"/>
                <w:lang w:eastAsia="cs-CZ"/>
              </w:rPr>
              <w:t>Novela zákona č. 563/2004 Sb., o pedagogických pracovnících a</w:t>
            </w:r>
            <w:r w:rsidR="00556CBB">
              <w:rPr>
                <w:rFonts w:eastAsia="Times New Roman" w:cs="Arial"/>
                <w:sz w:val="16"/>
                <w:szCs w:val="16"/>
                <w:lang w:eastAsia="cs-CZ"/>
              </w:rPr>
              <w:t xml:space="preserve"> o změně některých zákonů (vlád</w:t>
            </w:r>
            <w:r w:rsidRPr="00D42B75">
              <w:rPr>
                <w:rFonts w:eastAsia="Times New Roman" w:cs="Arial"/>
                <w:sz w:val="16"/>
                <w:szCs w:val="16"/>
                <w:lang w:eastAsia="cs-CZ"/>
              </w:rPr>
              <w:t xml:space="preserve">ní návrh předložen Poslanecké sněmovně jako sněmovní tisk 959) počítá s označením specializované činnosti „koordinátor v oblasti informačních a komunikačních technologií“. Označení „Koordinátor v oblasti informačních a komunikačních technologií“ je v souladu se schválenou profesní kvalifikací (NSK), s udělenými akreditacemi vzdělávacích programů v systému dalšího vzdělávání pedagogických pracovníků, označením specializačního studia v § 9 odst. 1 písm. a) vyhlášky č. 317/2005 Sb. a pracovním návrhem novely nařízení vlády č. 75/2005 Sb., jíž má dojít mj. k terminologickému sladění označení téže činnosti (materiál </w:t>
            </w:r>
            <w:proofErr w:type="gramStart"/>
            <w:r w:rsidRPr="00D42B75">
              <w:rPr>
                <w:rFonts w:eastAsia="Times New Roman" w:cs="Arial"/>
                <w:sz w:val="16"/>
                <w:szCs w:val="16"/>
                <w:lang w:eastAsia="cs-CZ"/>
              </w:rPr>
              <w:t>č.j.</w:t>
            </w:r>
            <w:proofErr w:type="gramEnd"/>
            <w:r w:rsidRPr="00D42B75">
              <w:rPr>
                <w:rFonts w:eastAsia="Times New Roman" w:cs="Arial"/>
                <w:sz w:val="16"/>
                <w:szCs w:val="16"/>
                <w:lang w:eastAsia="cs-CZ"/>
              </w:rPr>
              <w:t xml:space="preserve"> MSMT-36937/2016-1). Revize standardu specializačního studia Koordinace v oblasti ICT se plánuje</w:t>
            </w:r>
            <w:r>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31.12.2019</w:t>
            </w:r>
            <w:proofErr w:type="gramEnd"/>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495106">
        <w:trPr>
          <w:trHeight w:val="2266"/>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6.4 Metodická podpora začleňování digitálních technologií do výuky a do života školy</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6.4.1 Tvorba komplexních učebních zdrojů, metodických doporučení a on-line materiálů vhodných pro vzdělávání učitelů zaměřené na využití digitálních technologií ve výuce a pro učení žáků. Tvorba celoplošně dostupné nabídky vzdělávání učitelů v dosahování standardu digitálních kompetencí učitele (viz opatření 3.1), tzn. pestré nabídky on-line seminářů, kombinovaných i prezenčních forem s využitím e-</w:t>
            </w:r>
            <w:proofErr w:type="spellStart"/>
            <w:r w:rsidRPr="00E31FF5">
              <w:rPr>
                <w:rFonts w:eastAsia="Times New Roman" w:cs="Arial"/>
                <w:sz w:val="16"/>
                <w:szCs w:val="16"/>
                <w:lang w:eastAsia="cs-CZ"/>
              </w:rPr>
              <w:t>learningu</w:t>
            </w:r>
            <w:proofErr w:type="spellEnd"/>
            <w:r w:rsidRPr="00E31FF5">
              <w:rPr>
                <w:rFonts w:eastAsia="Times New Roman" w:cs="Arial"/>
                <w:sz w:val="16"/>
                <w:szCs w:val="16"/>
                <w:lang w:eastAsia="cs-CZ"/>
              </w:rPr>
              <w:t>.</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NIDV, NÚV, další</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7B17FF" w:rsidRPr="000A2308" w:rsidRDefault="007B17FF" w:rsidP="000A2308">
            <w:pPr>
              <w:spacing w:after="0" w:line="240" w:lineRule="auto"/>
              <w:rPr>
                <w:rFonts w:eastAsia="Times New Roman" w:cs="Arial"/>
                <w:sz w:val="16"/>
                <w:szCs w:val="16"/>
                <w:lang w:eastAsia="cs-CZ"/>
              </w:rPr>
            </w:pPr>
            <w:r w:rsidRPr="000A2308">
              <w:rPr>
                <w:rFonts w:eastAsia="Times New Roman" w:cs="Arial"/>
                <w:sz w:val="16"/>
                <w:szCs w:val="16"/>
                <w:lang w:eastAsia="cs-CZ"/>
              </w:rPr>
              <w:t>Byl připraven plán výzev v OP VVV zaměřených na implementaci Strategie digitálního vzdělávání (ISDV)</w:t>
            </w:r>
            <w:r w:rsidR="006753C3">
              <w:rPr>
                <w:rFonts w:eastAsia="Times New Roman" w:cs="Arial"/>
                <w:sz w:val="16"/>
                <w:szCs w:val="16"/>
                <w:lang w:eastAsia="cs-CZ"/>
              </w:rPr>
              <w:t>, jejichž součástí je i tvorba učebních zdrojů, metodických doporučení a online materiálů vhodných pro vzdělávání učitelů</w:t>
            </w:r>
            <w:r w:rsidRPr="000A2308">
              <w:rPr>
                <w:rFonts w:eastAsia="Times New Roman" w:cs="Arial"/>
                <w:sz w:val="16"/>
                <w:szCs w:val="16"/>
                <w:lang w:eastAsia="cs-CZ"/>
              </w:rPr>
              <w:t>:</w:t>
            </w:r>
          </w:p>
          <w:p w:rsidR="007B17FF" w:rsidRPr="000A2308" w:rsidRDefault="007B17FF" w:rsidP="00246A0B">
            <w:pPr>
              <w:pStyle w:val="Odstavecseseznamem"/>
              <w:numPr>
                <w:ilvl w:val="0"/>
                <w:numId w:val="11"/>
              </w:numPr>
              <w:spacing w:after="0" w:line="240" w:lineRule="auto"/>
              <w:ind w:left="214" w:hanging="218"/>
              <w:rPr>
                <w:rFonts w:eastAsia="Times New Roman" w:cs="Arial"/>
                <w:sz w:val="16"/>
                <w:szCs w:val="16"/>
                <w:lang w:eastAsia="cs-CZ"/>
              </w:rPr>
            </w:pPr>
            <w:r w:rsidRPr="000A2308">
              <w:rPr>
                <w:rFonts w:eastAsia="Times New Roman" w:cs="Arial"/>
                <w:sz w:val="16"/>
                <w:szCs w:val="16"/>
                <w:lang w:eastAsia="cs-CZ"/>
              </w:rPr>
              <w:t xml:space="preserve">ISDV I. (individuální projekty koncepční) – výzva vyhlášena 1. 11. 2016 (http://www.msmt.cz/strukturalni-fondy-1/vyzva-c-02-16-036-implementace-strategie-digitalniho) </w:t>
            </w:r>
          </w:p>
          <w:p w:rsidR="007B17FF" w:rsidRPr="000A2308" w:rsidRDefault="007B17FF" w:rsidP="00246A0B">
            <w:pPr>
              <w:pStyle w:val="Odstavecseseznamem"/>
              <w:numPr>
                <w:ilvl w:val="0"/>
                <w:numId w:val="11"/>
              </w:numPr>
              <w:spacing w:after="0" w:line="240" w:lineRule="auto"/>
              <w:ind w:left="214" w:hanging="218"/>
              <w:rPr>
                <w:rFonts w:eastAsia="Times New Roman" w:cs="Arial"/>
                <w:sz w:val="16"/>
                <w:szCs w:val="16"/>
                <w:lang w:eastAsia="cs-CZ"/>
              </w:rPr>
            </w:pPr>
            <w:r w:rsidRPr="000A2308">
              <w:rPr>
                <w:rFonts w:eastAsia="Times New Roman" w:cs="Arial"/>
                <w:sz w:val="16"/>
                <w:szCs w:val="16"/>
                <w:lang w:eastAsia="cs-CZ"/>
              </w:rPr>
              <w:t>ISDV II. (individuální projekty ostatní) – plán vyhlášení 2018</w:t>
            </w:r>
          </w:p>
          <w:p w:rsidR="007B17FF" w:rsidRPr="000A2308" w:rsidRDefault="007B17FF" w:rsidP="00246A0B">
            <w:pPr>
              <w:pStyle w:val="Odstavecseseznamem"/>
              <w:numPr>
                <w:ilvl w:val="0"/>
                <w:numId w:val="11"/>
              </w:numPr>
              <w:spacing w:after="0" w:line="240" w:lineRule="auto"/>
              <w:ind w:left="214" w:hanging="218"/>
              <w:rPr>
                <w:rFonts w:eastAsia="Times New Roman" w:cs="Arial"/>
                <w:sz w:val="16"/>
                <w:szCs w:val="16"/>
                <w:lang w:eastAsia="cs-CZ"/>
              </w:rPr>
            </w:pPr>
            <w:r w:rsidRPr="000A2308">
              <w:rPr>
                <w:rFonts w:eastAsia="Times New Roman" w:cs="Arial"/>
                <w:sz w:val="16"/>
                <w:szCs w:val="16"/>
                <w:lang w:eastAsia="cs-CZ"/>
              </w:rPr>
              <w:t xml:space="preserve">Šablony </w:t>
            </w:r>
            <w:r w:rsidR="006753C3">
              <w:rPr>
                <w:rFonts w:eastAsia="Times New Roman" w:cs="Arial"/>
                <w:sz w:val="16"/>
                <w:szCs w:val="16"/>
                <w:lang w:eastAsia="cs-CZ"/>
              </w:rPr>
              <w:t xml:space="preserve">III </w:t>
            </w:r>
            <w:r w:rsidRPr="000A2308">
              <w:rPr>
                <w:rFonts w:eastAsia="Times New Roman" w:cs="Arial"/>
                <w:sz w:val="16"/>
                <w:szCs w:val="16"/>
                <w:lang w:eastAsia="cs-CZ"/>
              </w:rPr>
              <w:t>pro školy – plán vyhlášení 2020</w:t>
            </w:r>
          </w:p>
          <w:p w:rsidR="007B17FF" w:rsidRPr="00E31FF5" w:rsidRDefault="007B17FF" w:rsidP="000A2308">
            <w:pPr>
              <w:spacing w:after="0" w:line="240" w:lineRule="auto"/>
              <w:rPr>
                <w:rFonts w:eastAsia="Times New Roman" w:cs="Arial"/>
                <w:sz w:val="16"/>
                <w:szCs w:val="16"/>
                <w:lang w:eastAsia="cs-CZ"/>
              </w:rPr>
            </w:pPr>
            <w:r w:rsidRPr="000A2308">
              <w:rPr>
                <w:rFonts w:eastAsia="Times New Roman" w:cs="Arial"/>
                <w:sz w:val="16"/>
                <w:szCs w:val="16"/>
                <w:lang w:eastAsia="cs-CZ"/>
              </w:rPr>
              <w:t>Metodická podpora školám zaměřená na využití digitálních technologií ve výuce a pro učení žáků je i so</w:t>
            </w:r>
            <w:r w:rsidR="006753C3">
              <w:rPr>
                <w:rFonts w:eastAsia="Times New Roman" w:cs="Arial"/>
                <w:sz w:val="16"/>
                <w:szCs w:val="16"/>
                <w:lang w:eastAsia="cs-CZ"/>
              </w:rPr>
              <w:t xml:space="preserve">učástí dalších výzev OP VVV </w:t>
            </w:r>
            <w:r w:rsidRPr="000A2308">
              <w:rPr>
                <w:rFonts w:eastAsia="Times New Roman" w:cs="Arial"/>
                <w:sz w:val="16"/>
                <w:szCs w:val="16"/>
                <w:lang w:eastAsia="cs-CZ"/>
              </w:rPr>
              <w:t>primárně zaměřených na jinou než digitální problematiku.</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31.12.2016</w:t>
            </w:r>
            <w:proofErr w:type="gramEnd"/>
            <w:r w:rsidRPr="00E31FF5">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B17FF">
        <w:trPr>
          <w:trHeight w:val="1968"/>
        </w:trPr>
        <w:tc>
          <w:tcPr>
            <w:tcW w:w="1226" w:type="dxa"/>
            <w:vMerge/>
            <w:tcBorders>
              <w:top w:val="nil"/>
              <w:left w:val="single" w:sz="4" w:space="0" w:color="auto"/>
              <w:bottom w:val="single" w:sz="4" w:space="0" w:color="auto"/>
              <w:right w:val="single" w:sz="4" w:space="0" w:color="auto"/>
            </w:tcBorders>
            <w:vAlign w:val="center"/>
            <w:hideMark/>
          </w:tcPr>
          <w:p w:rsidR="007B17FF" w:rsidRPr="00E31FF5"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6.4.2 Začlenění problematiky strategického plánování, řízení změny a sdílení vize při implementaci digitálních technologií do života školy jako povinné součásti rámců a programů pro budoucí ředitele a zástupce ředitelů, do vznikajících profesních rámců a programů pro další vedoucí pracovníky ve školství. Tvorba učebních zdrojů a komplexní vzdělávací nabídky.</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další</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Omezený pokrok</w:t>
            </w:r>
          </w:p>
          <w:p w:rsidR="007B17FF" w:rsidRPr="00E31FF5" w:rsidRDefault="007B17FF" w:rsidP="009C5E1D">
            <w:pPr>
              <w:spacing w:after="0" w:line="240" w:lineRule="auto"/>
              <w:rPr>
                <w:rFonts w:eastAsia="Times New Roman" w:cs="Arial"/>
                <w:sz w:val="16"/>
                <w:szCs w:val="16"/>
                <w:lang w:eastAsia="cs-CZ"/>
              </w:rPr>
            </w:pPr>
            <w:r w:rsidRPr="009C5E1D">
              <w:rPr>
                <w:rFonts w:eastAsia="Times New Roman" w:cs="Arial"/>
                <w:sz w:val="16"/>
                <w:szCs w:val="16"/>
                <w:lang w:eastAsia="cs-CZ"/>
              </w:rPr>
              <w:t>Bude řešeno v návaznosti na novelu zákona č. 563/2004 Sb.</w:t>
            </w:r>
            <w:r>
              <w:rPr>
                <w:rFonts w:eastAsia="Times New Roman" w:cs="Arial"/>
                <w:sz w:val="16"/>
                <w:szCs w:val="16"/>
                <w:lang w:eastAsia="cs-CZ"/>
              </w:rPr>
              <w:t xml:space="preserve"> </w:t>
            </w:r>
            <w:r w:rsidRPr="009C5E1D">
              <w:rPr>
                <w:rFonts w:eastAsia="Times New Roman" w:cs="Arial"/>
                <w:sz w:val="16"/>
                <w:szCs w:val="16"/>
                <w:lang w:eastAsia="cs-CZ"/>
              </w:rPr>
              <w:t>Standardy pro vzdělávání vedoucích pracovníků školství</w:t>
            </w:r>
            <w:r>
              <w:rPr>
                <w:rFonts w:eastAsia="Times New Roman" w:cs="Arial"/>
                <w:sz w:val="16"/>
                <w:szCs w:val="16"/>
                <w:lang w:eastAsia="cs-CZ"/>
              </w:rPr>
              <w:t xml:space="preserve"> budou upraveny v rámci </w:t>
            </w:r>
            <w:proofErr w:type="spellStart"/>
            <w:r>
              <w:rPr>
                <w:rFonts w:eastAsia="Times New Roman" w:cs="Arial"/>
                <w:sz w:val="16"/>
                <w:szCs w:val="16"/>
                <w:lang w:eastAsia="cs-CZ"/>
              </w:rPr>
              <w:t>IPs</w:t>
            </w:r>
            <w:proofErr w:type="spellEnd"/>
            <w:r>
              <w:rPr>
                <w:rFonts w:eastAsia="Times New Roman" w:cs="Arial"/>
                <w:sz w:val="16"/>
                <w:szCs w:val="16"/>
                <w:lang w:eastAsia="cs-CZ"/>
              </w:rPr>
              <w:t xml:space="preserve"> OP VVV</w:t>
            </w:r>
            <w:r w:rsidRPr="009C5E1D">
              <w:rPr>
                <w:rFonts w:eastAsia="Times New Roman" w:cs="Arial"/>
                <w:sz w:val="16"/>
                <w:szCs w:val="16"/>
                <w:lang w:eastAsia="cs-CZ"/>
              </w:rPr>
              <w:t xml:space="preserve"> IMKA</w:t>
            </w:r>
            <w:r>
              <w:rPr>
                <w:rFonts w:eastAsia="Times New Roman" w:cs="Arial"/>
                <w:sz w:val="16"/>
                <w:szCs w:val="16"/>
                <w:lang w:eastAsia="cs-CZ"/>
              </w:rPr>
              <w:t xml:space="preserve">. </w:t>
            </w:r>
            <w:r w:rsidRPr="009C5E1D">
              <w:rPr>
                <w:rFonts w:eastAsia="Times New Roman" w:cs="Arial"/>
                <w:sz w:val="16"/>
                <w:szCs w:val="16"/>
                <w:lang w:eastAsia="cs-CZ"/>
              </w:rPr>
              <w:t xml:space="preserve">Inovace vzdělávání vedoucích pracovníků </w:t>
            </w:r>
            <w:r>
              <w:rPr>
                <w:rFonts w:eastAsia="Times New Roman" w:cs="Arial"/>
                <w:sz w:val="16"/>
                <w:szCs w:val="16"/>
                <w:lang w:eastAsia="cs-CZ"/>
              </w:rPr>
              <w:t>je součástí připravované výzvy OP VVV</w:t>
            </w:r>
            <w:r w:rsidRPr="009C5E1D">
              <w:rPr>
                <w:rFonts w:eastAsia="Times New Roman" w:cs="Arial"/>
                <w:sz w:val="16"/>
                <w:szCs w:val="16"/>
                <w:lang w:eastAsia="cs-CZ"/>
              </w:rPr>
              <w:t xml:space="preserve"> „Budování kapacit II“</w:t>
            </w:r>
            <w:r>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31.12.2018</w:t>
            </w:r>
            <w:proofErr w:type="gramEnd"/>
            <w:r w:rsidRPr="00E31FF5">
              <w:rPr>
                <w:rFonts w:eastAsia="Times New Roman" w:cs="Arial"/>
                <w:sz w:val="16"/>
                <w:szCs w:val="16"/>
                <w:lang w:eastAsia="cs-CZ"/>
              </w:rPr>
              <w:t>, průběžně</w:t>
            </w:r>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B17FF">
        <w:trPr>
          <w:trHeight w:val="1840"/>
        </w:trPr>
        <w:tc>
          <w:tcPr>
            <w:tcW w:w="1226" w:type="dxa"/>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lastRenderedPageBreak/>
              <w:t>6.5 Odborná a metodická podpora rozvoje infrastruktury digitálního prostředí škol pro zřizovatele a vedení škol</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6.5.1 MŠMT zřídí pracovní skupinu, ve které budou přítomni zástupci dodavatelů a technologických firem a která ve spolupráci se zástupci škol, zřizovatelů a dalšími odborníky vyvine příslušné metodické návody. Obsah těchto návodů nebude přímo závislý na konkrétních platformách či konkrétních komerčních produktech.</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w:t>
            </w:r>
            <w:r w:rsidR="00A65E40">
              <w:rPr>
                <w:rFonts w:eastAsia="Times New Roman" w:cs="Arial"/>
                <w:sz w:val="16"/>
                <w:szCs w:val="16"/>
                <w:lang w:eastAsia="cs-CZ"/>
              </w:rPr>
              <w:t>, NÚV</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45041A">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7B17FF" w:rsidRPr="00E31FF5" w:rsidRDefault="007B17FF" w:rsidP="00A65E40">
            <w:pPr>
              <w:spacing w:after="0" w:line="240" w:lineRule="auto"/>
              <w:rPr>
                <w:rFonts w:eastAsia="Times New Roman" w:cs="Arial"/>
                <w:sz w:val="16"/>
                <w:szCs w:val="16"/>
                <w:lang w:eastAsia="cs-CZ"/>
              </w:rPr>
            </w:pPr>
            <w:r w:rsidRPr="009C3828">
              <w:rPr>
                <w:rFonts w:eastAsia="Times New Roman" w:cs="Arial"/>
                <w:sz w:val="16"/>
                <w:szCs w:val="16"/>
                <w:lang w:eastAsia="cs-CZ"/>
              </w:rPr>
              <w:t>Byla formulována výzkumná potřeba pro zakázku TA ČR „Návrh perspektiv tematických oblastí výzkumu, vývoje a inovací reagujících na kontext, obsah a rozsah tzv. čtvrté průmyslové revoluce (Průmysl 4.0)“ obsahující kategorizaci situací doprovázejících obnovu a pořizování digitální infrastruktury ve školách a vytvořen</w:t>
            </w:r>
            <w:r w:rsidR="00A65E40" w:rsidRPr="009C3828">
              <w:rPr>
                <w:rFonts w:eastAsia="Times New Roman" w:cs="Arial"/>
                <w:sz w:val="16"/>
                <w:szCs w:val="16"/>
                <w:lang w:eastAsia="cs-CZ"/>
              </w:rPr>
              <w:t>í jednoho vzorového metodického návodu. Tento</w:t>
            </w:r>
            <w:r w:rsidRPr="009C3828">
              <w:rPr>
                <w:rFonts w:eastAsia="Times New Roman" w:cs="Arial"/>
                <w:sz w:val="16"/>
                <w:szCs w:val="16"/>
                <w:lang w:eastAsia="cs-CZ"/>
              </w:rPr>
              <w:t xml:space="preserve"> návod</w:t>
            </w:r>
            <w:r w:rsidR="00A65E40" w:rsidRPr="009C3828">
              <w:rPr>
                <w:rFonts w:eastAsia="Times New Roman" w:cs="Arial"/>
                <w:sz w:val="16"/>
                <w:szCs w:val="16"/>
                <w:lang w:eastAsia="cs-CZ"/>
              </w:rPr>
              <w:t xml:space="preserve"> a další výstupy výzkumného úkolu</w:t>
            </w:r>
            <w:r w:rsidRPr="009C3828">
              <w:rPr>
                <w:rFonts w:eastAsia="Times New Roman" w:cs="Arial"/>
                <w:sz w:val="16"/>
                <w:szCs w:val="16"/>
                <w:lang w:eastAsia="cs-CZ"/>
              </w:rPr>
              <w:t xml:space="preserve"> byly MŠMT a NÚV předány v prosinci 2016 od dodavatele dílčího plnění rámcové smlouvy zakázky (</w:t>
            </w:r>
            <w:proofErr w:type="spellStart"/>
            <w:r w:rsidRPr="009C3828">
              <w:rPr>
                <w:rFonts w:eastAsia="Times New Roman" w:cs="Arial"/>
                <w:sz w:val="16"/>
                <w:szCs w:val="16"/>
                <w:lang w:eastAsia="cs-CZ"/>
              </w:rPr>
              <w:t>minitendru</w:t>
            </w:r>
            <w:proofErr w:type="spellEnd"/>
            <w:r w:rsidRPr="009C3828">
              <w:rPr>
                <w:rFonts w:eastAsia="Times New Roman" w:cs="Arial"/>
                <w:sz w:val="16"/>
                <w:szCs w:val="16"/>
                <w:lang w:eastAsia="cs-CZ"/>
              </w:rPr>
              <w:t>), kterým bylo konsorcium ČVUT v Praze a NVF.</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jc w:val="center"/>
              <w:rPr>
                <w:rFonts w:eastAsia="Times New Roman" w:cs="Arial"/>
                <w:sz w:val="16"/>
                <w:szCs w:val="16"/>
                <w:lang w:eastAsia="cs-CZ"/>
              </w:rPr>
            </w:pPr>
            <w:proofErr w:type="gramStart"/>
            <w:r w:rsidRPr="00E31FF5">
              <w:rPr>
                <w:rFonts w:eastAsia="Times New Roman" w:cs="Arial"/>
                <w:sz w:val="16"/>
                <w:szCs w:val="16"/>
                <w:lang w:eastAsia="cs-CZ"/>
              </w:rPr>
              <w:t>31.12.2017</w:t>
            </w:r>
            <w:proofErr w:type="gramEnd"/>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 </w:t>
            </w:r>
          </w:p>
        </w:tc>
      </w:tr>
      <w:tr w:rsidR="007B17FF" w:rsidRPr="00E31FF5" w:rsidTr="007B17FF">
        <w:trPr>
          <w:trHeight w:val="1840"/>
        </w:trPr>
        <w:tc>
          <w:tcPr>
            <w:tcW w:w="1226" w:type="dxa"/>
            <w:tcBorders>
              <w:top w:val="nil"/>
              <w:left w:val="single" w:sz="4" w:space="0" w:color="auto"/>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6.6 Zřízení sítě ICT metodiků na úrovni kraje, příp. obce</w:t>
            </w:r>
          </w:p>
        </w:tc>
        <w:tc>
          <w:tcPr>
            <w:tcW w:w="3027"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6.6.1 Analýza možností financování centrálně řízené pozice ICT metodika na úrovni kraje (zaměstnanec kraje, krajského pracoviště NIDV atp.) a nastavení jeho náplně práce. Zřízení pozice krajského ICT metodika na základě výsledků analýzy, prvotní metodické proškolení a vedení nových ICT metodiků.</w:t>
            </w:r>
          </w:p>
        </w:tc>
        <w:tc>
          <w:tcPr>
            <w:tcW w:w="992" w:type="dxa"/>
            <w:tcBorders>
              <w:top w:val="nil"/>
              <w:left w:val="nil"/>
              <w:bottom w:val="single" w:sz="4" w:space="0" w:color="auto"/>
              <w:right w:val="single" w:sz="4" w:space="0" w:color="auto"/>
            </w:tcBorders>
            <w:shd w:val="clear" w:color="auto" w:fill="auto"/>
            <w:hideMark/>
          </w:tcPr>
          <w:p w:rsidR="007B17FF" w:rsidRPr="00E31FF5" w:rsidRDefault="007B17FF" w:rsidP="0045041A">
            <w:pPr>
              <w:spacing w:after="0" w:line="240" w:lineRule="auto"/>
              <w:rPr>
                <w:rFonts w:eastAsia="Times New Roman" w:cs="Arial"/>
                <w:sz w:val="16"/>
                <w:szCs w:val="16"/>
                <w:lang w:eastAsia="cs-CZ"/>
              </w:rPr>
            </w:pPr>
            <w:r w:rsidRPr="00E31FF5">
              <w:rPr>
                <w:rFonts w:eastAsia="Times New Roman" w:cs="Arial"/>
                <w:sz w:val="16"/>
                <w:szCs w:val="16"/>
                <w:lang w:eastAsia="cs-CZ"/>
              </w:rPr>
              <w:t>MŠMT, NIDV</w:t>
            </w:r>
          </w:p>
        </w:tc>
        <w:tc>
          <w:tcPr>
            <w:tcW w:w="5954" w:type="dxa"/>
            <w:tcBorders>
              <w:top w:val="nil"/>
              <w:left w:val="nil"/>
              <w:bottom w:val="single" w:sz="4" w:space="0" w:color="auto"/>
              <w:right w:val="single" w:sz="4" w:space="0" w:color="auto"/>
            </w:tcBorders>
            <w:shd w:val="clear" w:color="auto" w:fill="auto"/>
            <w:hideMark/>
          </w:tcPr>
          <w:p w:rsidR="007B17FF" w:rsidRPr="009C3828" w:rsidRDefault="007B17FF" w:rsidP="00C71837">
            <w:pPr>
              <w:spacing w:after="0" w:line="240" w:lineRule="auto"/>
              <w:rPr>
                <w:rFonts w:eastAsia="Times New Roman" w:cs="Arial"/>
                <w:b/>
                <w:sz w:val="16"/>
                <w:szCs w:val="16"/>
                <w:lang w:eastAsia="cs-CZ"/>
              </w:rPr>
            </w:pPr>
            <w:r w:rsidRPr="009C3828">
              <w:rPr>
                <w:rFonts w:eastAsia="Times New Roman" w:cs="Arial"/>
                <w:b/>
                <w:sz w:val="16"/>
                <w:szCs w:val="16"/>
                <w:lang w:eastAsia="cs-CZ"/>
              </w:rPr>
              <w:t>Pokrok</w:t>
            </w:r>
          </w:p>
          <w:p w:rsidR="007B17FF" w:rsidRPr="00E31FF5" w:rsidRDefault="007B17FF" w:rsidP="007D55A1">
            <w:pPr>
              <w:spacing w:after="0" w:line="240" w:lineRule="auto"/>
              <w:rPr>
                <w:rFonts w:eastAsia="Times New Roman" w:cs="Arial"/>
                <w:sz w:val="16"/>
                <w:szCs w:val="16"/>
                <w:lang w:eastAsia="cs-CZ"/>
              </w:rPr>
            </w:pPr>
            <w:r w:rsidRPr="009C3828">
              <w:rPr>
                <w:rFonts w:eastAsia="Times New Roman" w:cs="Arial"/>
                <w:sz w:val="16"/>
                <w:szCs w:val="16"/>
                <w:lang w:eastAsia="cs-CZ"/>
              </w:rPr>
              <w:t xml:space="preserve">Byla provedena analýza možností financování ICT metodika na úrovni kraje, byly definovány možné zdroje financování, byla vyčíslena finanční náročnost zřízení krajských ICT metodiků (viz dokument NIDV „Návrh pro vytvoření systému odborné podpory rozvoje škol v oblasti integrace digitálních technologií do výuky a do života školy“). </w:t>
            </w:r>
            <w:r w:rsidR="00A65E40" w:rsidRPr="009C3828">
              <w:rPr>
                <w:rFonts w:eastAsia="Times New Roman" w:cs="Arial"/>
                <w:sz w:val="16"/>
                <w:szCs w:val="16"/>
                <w:lang w:eastAsia="cs-CZ"/>
              </w:rPr>
              <w:t xml:space="preserve">Z prostředků </w:t>
            </w:r>
            <w:proofErr w:type="spellStart"/>
            <w:r w:rsidR="00A65E40" w:rsidRPr="009C3828">
              <w:rPr>
                <w:rFonts w:eastAsia="Times New Roman" w:cs="Arial"/>
                <w:sz w:val="16"/>
                <w:szCs w:val="16"/>
                <w:lang w:eastAsia="cs-CZ"/>
              </w:rPr>
              <w:t>IPs</w:t>
            </w:r>
            <w:proofErr w:type="spellEnd"/>
            <w:r w:rsidR="00A65E40" w:rsidRPr="009C3828">
              <w:rPr>
                <w:rFonts w:eastAsia="Times New Roman" w:cs="Arial"/>
                <w:sz w:val="16"/>
                <w:szCs w:val="16"/>
                <w:lang w:eastAsia="cs-CZ"/>
              </w:rPr>
              <w:t xml:space="preserve"> IMKA bude pozice ICT metodika </w:t>
            </w:r>
            <w:r w:rsidR="007D55A1" w:rsidRPr="009C3828">
              <w:rPr>
                <w:rFonts w:eastAsia="Times New Roman" w:cs="Arial"/>
                <w:sz w:val="16"/>
                <w:szCs w:val="16"/>
                <w:lang w:eastAsia="cs-CZ"/>
              </w:rPr>
              <w:t xml:space="preserve">financována od </w:t>
            </w:r>
            <w:proofErr w:type="gramStart"/>
            <w:r w:rsidR="007D55A1" w:rsidRPr="009C3828">
              <w:rPr>
                <w:rFonts w:eastAsia="Times New Roman" w:cs="Arial"/>
                <w:sz w:val="16"/>
                <w:szCs w:val="16"/>
                <w:lang w:eastAsia="cs-CZ"/>
              </w:rPr>
              <w:t>1.1.2018</w:t>
            </w:r>
            <w:proofErr w:type="gramEnd"/>
            <w:r w:rsidR="007D55A1" w:rsidRPr="009C3828">
              <w:rPr>
                <w:rFonts w:eastAsia="Times New Roman" w:cs="Arial"/>
                <w:sz w:val="16"/>
                <w:szCs w:val="16"/>
                <w:lang w:eastAsia="cs-CZ"/>
              </w:rPr>
              <w:t>.</w:t>
            </w:r>
          </w:p>
        </w:tc>
        <w:tc>
          <w:tcPr>
            <w:tcW w:w="1275" w:type="dxa"/>
            <w:tcBorders>
              <w:top w:val="nil"/>
              <w:left w:val="nil"/>
              <w:bottom w:val="single" w:sz="4" w:space="0" w:color="auto"/>
              <w:right w:val="single" w:sz="4" w:space="0" w:color="auto"/>
            </w:tcBorders>
            <w:shd w:val="clear" w:color="auto" w:fill="auto"/>
            <w:hideMark/>
          </w:tcPr>
          <w:p w:rsidR="007B17FF" w:rsidRPr="00E31FF5" w:rsidRDefault="009C3828" w:rsidP="0045041A">
            <w:pPr>
              <w:spacing w:after="0" w:line="240" w:lineRule="auto"/>
              <w:jc w:val="center"/>
              <w:rPr>
                <w:rFonts w:eastAsia="Times New Roman" w:cs="Arial"/>
                <w:sz w:val="16"/>
                <w:szCs w:val="16"/>
                <w:lang w:eastAsia="cs-CZ"/>
              </w:rPr>
            </w:pPr>
            <w:proofErr w:type="gramStart"/>
            <w:r>
              <w:rPr>
                <w:rFonts w:eastAsia="Times New Roman" w:cs="Arial"/>
                <w:sz w:val="16"/>
                <w:szCs w:val="16"/>
                <w:lang w:eastAsia="cs-CZ"/>
              </w:rPr>
              <w:t>31.12.2018</w:t>
            </w:r>
            <w:proofErr w:type="gramEnd"/>
          </w:p>
        </w:tc>
        <w:tc>
          <w:tcPr>
            <w:tcW w:w="2835" w:type="dxa"/>
            <w:tcBorders>
              <w:top w:val="nil"/>
              <w:left w:val="nil"/>
              <w:bottom w:val="single" w:sz="4" w:space="0" w:color="auto"/>
              <w:right w:val="single" w:sz="4" w:space="0" w:color="auto"/>
            </w:tcBorders>
            <w:shd w:val="clear" w:color="auto" w:fill="auto"/>
            <w:hideMark/>
          </w:tcPr>
          <w:p w:rsidR="007B17FF" w:rsidRPr="00E31FF5" w:rsidRDefault="007B17FF" w:rsidP="007D55A1">
            <w:pPr>
              <w:spacing w:after="0" w:line="240" w:lineRule="auto"/>
              <w:rPr>
                <w:rFonts w:eastAsia="Times New Roman" w:cs="Arial"/>
                <w:sz w:val="16"/>
                <w:szCs w:val="16"/>
                <w:lang w:eastAsia="cs-CZ"/>
              </w:rPr>
            </w:pPr>
          </w:p>
        </w:tc>
      </w:tr>
    </w:tbl>
    <w:p w:rsidR="007D55A1" w:rsidRDefault="007D55A1" w:rsidP="00EA061B"/>
    <w:p w:rsidR="00790F57" w:rsidRDefault="00790F57">
      <w:pPr>
        <w:spacing w:after="160" w:line="259" w:lineRule="auto"/>
        <w:jc w:val="left"/>
      </w:pPr>
      <w:r>
        <w:br w:type="page"/>
      </w:r>
    </w:p>
    <w:p w:rsidR="007C3CF7" w:rsidRDefault="007C3CF7" w:rsidP="007B17FF">
      <w:pPr>
        <w:pStyle w:val="Nadpis2"/>
        <w:ind w:left="1080"/>
      </w:pPr>
      <w:bookmarkStart w:id="10" w:name="_Toc469572110"/>
      <w:r>
        <w:lastRenderedPageBreak/>
        <w:t>Zvýšit porozumění veřejnosti cílům a procesům integrace technologií do vzdělávání.</w:t>
      </w:r>
      <w:bookmarkEnd w:id="10"/>
    </w:p>
    <w:tbl>
      <w:tblPr>
        <w:tblStyle w:val="Mkatabulky"/>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gridCol w:w="11544"/>
      </w:tblGrid>
      <w:tr w:rsidR="00BF4F1B" w:rsidRPr="00BF4F1B" w:rsidTr="00BF4F1B">
        <w:trPr>
          <w:trHeight w:val="900"/>
        </w:trPr>
        <w:tc>
          <w:tcPr>
            <w:tcW w:w="3619" w:type="dxa"/>
            <w:hideMark/>
          </w:tcPr>
          <w:p w:rsidR="00BF4F1B" w:rsidRPr="00BF4F1B" w:rsidRDefault="00BF4F1B" w:rsidP="00BF4F1B">
            <w:pPr>
              <w:jc w:val="left"/>
            </w:pPr>
            <w:r w:rsidRPr="00BF4F1B">
              <w:t>7.1 Veřejná kampaň zaměřená zejm. na rodiče žáků vysvětlující klíčový vliv digitálních technologií na vzdělávání</w:t>
            </w:r>
          </w:p>
        </w:tc>
        <w:tc>
          <w:tcPr>
            <w:tcW w:w="11544" w:type="dxa"/>
            <w:hideMark/>
          </w:tcPr>
          <w:p w:rsidR="00BF4F1B" w:rsidRPr="00BF4F1B" w:rsidRDefault="00BF4F1B" w:rsidP="00BF4F1B">
            <w:r w:rsidRPr="00BF4F1B">
              <w:t>Převládající část rodičů, veřejnosti a státní správy v oblasti vzdělávání má obecné povědomí o potenciálu digitálních technologií, má možnost jednoduše získat bližší informace o dané problematice, které může uplatnit při svém rozhodování a při výchově mladé generace.</w:t>
            </w:r>
          </w:p>
        </w:tc>
      </w:tr>
    </w:tbl>
    <w:p w:rsidR="007C3CF7" w:rsidRDefault="007C3CF7" w:rsidP="00B74F3F"/>
    <w:tbl>
      <w:tblPr>
        <w:tblW w:w="15309" w:type="dxa"/>
        <w:tblInd w:w="-5" w:type="dxa"/>
        <w:tblLayout w:type="fixed"/>
        <w:tblCellMar>
          <w:left w:w="70" w:type="dxa"/>
          <w:right w:w="70" w:type="dxa"/>
        </w:tblCellMar>
        <w:tblLook w:val="04A0" w:firstRow="1" w:lastRow="0" w:firstColumn="1" w:lastColumn="0" w:noHBand="0" w:noVBand="1"/>
      </w:tblPr>
      <w:tblGrid>
        <w:gridCol w:w="1226"/>
        <w:gridCol w:w="3027"/>
        <w:gridCol w:w="992"/>
        <w:gridCol w:w="5954"/>
        <w:gridCol w:w="1275"/>
        <w:gridCol w:w="2835"/>
      </w:tblGrid>
      <w:tr w:rsidR="007B17FF" w:rsidRPr="000E6580" w:rsidTr="007A4DF9">
        <w:trPr>
          <w:trHeight w:val="810"/>
        </w:trPr>
        <w:tc>
          <w:tcPr>
            <w:tcW w:w="1226" w:type="dxa"/>
            <w:tcBorders>
              <w:top w:val="single" w:sz="4" w:space="0" w:color="auto"/>
              <w:left w:val="single" w:sz="4" w:space="0" w:color="auto"/>
              <w:bottom w:val="single" w:sz="4" w:space="0" w:color="auto"/>
              <w:right w:val="single" w:sz="4" w:space="0" w:color="auto"/>
            </w:tcBorders>
            <w:shd w:val="clear" w:color="auto" w:fill="CC00CC"/>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Opatření</w:t>
            </w:r>
          </w:p>
        </w:tc>
        <w:tc>
          <w:tcPr>
            <w:tcW w:w="3027" w:type="dxa"/>
            <w:tcBorders>
              <w:top w:val="single" w:sz="4" w:space="0" w:color="auto"/>
              <w:left w:val="nil"/>
              <w:bottom w:val="single" w:sz="4" w:space="0" w:color="auto"/>
              <w:right w:val="single" w:sz="4" w:space="0" w:color="auto"/>
            </w:tcBorders>
            <w:shd w:val="clear" w:color="auto" w:fill="CC00CC"/>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Aktivity</w:t>
            </w:r>
          </w:p>
        </w:tc>
        <w:tc>
          <w:tcPr>
            <w:tcW w:w="992" w:type="dxa"/>
            <w:tcBorders>
              <w:top w:val="single" w:sz="4" w:space="0" w:color="auto"/>
              <w:left w:val="nil"/>
              <w:bottom w:val="single" w:sz="4" w:space="0" w:color="auto"/>
              <w:right w:val="single" w:sz="4" w:space="0" w:color="auto"/>
            </w:tcBorders>
            <w:shd w:val="clear" w:color="auto" w:fill="CC00CC"/>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Návrh realizace v SDV</w:t>
            </w:r>
          </w:p>
        </w:tc>
        <w:tc>
          <w:tcPr>
            <w:tcW w:w="5954" w:type="dxa"/>
            <w:tcBorders>
              <w:top w:val="single" w:sz="4" w:space="0" w:color="auto"/>
              <w:left w:val="nil"/>
              <w:bottom w:val="single" w:sz="4" w:space="0" w:color="auto"/>
              <w:right w:val="single" w:sz="4" w:space="0" w:color="auto"/>
            </w:tcBorders>
            <w:shd w:val="clear" w:color="auto" w:fill="CC00CC"/>
            <w:hideMark/>
          </w:tcPr>
          <w:p w:rsidR="007B17FF" w:rsidRPr="000E6580" w:rsidRDefault="000E6580"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Stav plnění, návrh na úpravy znění</w:t>
            </w:r>
          </w:p>
        </w:tc>
        <w:tc>
          <w:tcPr>
            <w:tcW w:w="1275" w:type="dxa"/>
            <w:tcBorders>
              <w:top w:val="single" w:sz="4" w:space="0" w:color="auto"/>
              <w:left w:val="nil"/>
              <w:bottom w:val="single" w:sz="4" w:space="0" w:color="auto"/>
              <w:right w:val="single" w:sz="4" w:space="0" w:color="auto"/>
            </w:tcBorders>
            <w:shd w:val="clear" w:color="auto" w:fill="CC00CC"/>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Termín (SDV)</w:t>
            </w:r>
          </w:p>
        </w:tc>
        <w:tc>
          <w:tcPr>
            <w:tcW w:w="2835" w:type="dxa"/>
            <w:tcBorders>
              <w:top w:val="single" w:sz="4" w:space="0" w:color="auto"/>
              <w:left w:val="nil"/>
              <w:bottom w:val="single" w:sz="4" w:space="0" w:color="auto"/>
              <w:right w:val="single" w:sz="4" w:space="0" w:color="auto"/>
            </w:tcBorders>
            <w:shd w:val="clear" w:color="auto" w:fill="CC00CC"/>
            <w:hideMark/>
          </w:tcPr>
          <w:p w:rsidR="007B17FF" w:rsidRPr="000E6580" w:rsidRDefault="007B17FF" w:rsidP="0045041A">
            <w:pPr>
              <w:spacing w:after="0" w:line="240" w:lineRule="auto"/>
              <w:rPr>
                <w:rFonts w:eastAsia="Times New Roman" w:cs="Arial"/>
                <w:b/>
                <w:bCs/>
                <w:sz w:val="20"/>
                <w:szCs w:val="20"/>
                <w:lang w:eastAsia="cs-CZ"/>
              </w:rPr>
            </w:pPr>
            <w:r w:rsidRPr="000E6580">
              <w:rPr>
                <w:rFonts w:eastAsia="Times New Roman" w:cs="Arial"/>
                <w:b/>
                <w:bCs/>
                <w:sz w:val="20"/>
                <w:szCs w:val="20"/>
                <w:lang w:eastAsia="cs-CZ"/>
              </w:rPr>
              <w:t>Změna termínu + důvod</w:t>
            </w:r>
          </w:p>
        </w:tc>
      </w:tr>
      <w:tr w:rsidR="007B17FF" w:rsidRPr="00453336" w:rsidTr="007B17FF">
        <w:trPr>
          <w:trHeight w:val="1800"/>
        </w:trPr>
        <w:tc>
          <w:tcPr>
            <w:tcW w:w="1226" w:type="dxa"/>
            <w:vMerge w:val="restart"/>
            <w:tcBorders>
              <w:top w:val="nil"/>
              <w:left w:val="single" w:sz="4" w:space="0" w:color="auto"/>
              <w:bottom w:val="single" w:sz="4" w:space="0" w:color="auto"/>
              <w:right w:val="single" w:sz="4" w:space="0" w:color="auto"/>
            </w:tcBorders>
            <w:shd w:val="clear" w:color="auto" w:fill="auto"/>
            <w:hideMark/>
          </w:tcPr>
          <w:p w:rsidR="007B17FF" w:rsidRPr="00453336" w:rsidRDefault="007B17FF" w:rsidP="0045041A">
            <w:pPr>
              <w:spacing w:after="0" w:line="240" w:lineRule="auto"/>
              <w:rPr>
                <w:rFonts w:eastAsia="Times New Roman" w:cs="Arial"/>
                <w:sz w:val="16"/>
                <w:szCs w:val="16"/>
                <w:lang w:eastAsia="cs-CZ"/>
              </w:rPr>
            </w:pPr>
            <w:r w:rsidRPr="00453336">
              <w:rPr>
                <w:rFonts w:eastAsia="Times New Roman" w:cs="Arial"/>
                <w:sz w:val="16"/>
                <w:szCs w:val="16"/>
                <w:lang w:eastAsia="cs-CZ"/>
              </w:rPr>
              <w:t>7.1 Veřejná kampaň zaměřená zejm. na rodiče žáků vysvětlující klíčový vliv digitálních technologií na vzdělávání</w:t>
            </w:r>
          </w:p>
        </w:tc>
        <w:tc>
          <w:tcPr>
            <w:tcW w:w="3027" w:type="dxa"/>
            <w:tcBorders>
              <w:top w:val="nil"/>
              <w:left w:val="nil"/>
              <w:bottom w:val="single" w:sz="4" w:space="0" w:color="auto"/>
              <w:right w:val="single" w:sz="4" w:space="0" w:color="auto"/>
            </w:tcBorders>
            <w:shd w:val="clear" w:color="auto" w:fill="auto"/>
            <w:hideMark/>
          </w:tcPr>
          <w:p w:rsidR="007B17FF" w:rsidRPr="00453336" w:rsidRDefault="007B17FF" w:rsidP="0045041A">
            <w:pPr>
              <w:spacing w:after="0" w:line="240" w:lineRule="auto"/>
              <w:rPr>
                <w:rFonts w:eastAsia="Times New Roman" w:cs="Arial"/>
                <w:sz w:val="16"/>
                <w:szCs w:val="16"/>
                <w:lang w:eastAsia="cs-CZ"/>
              </w:rPr>
            </w:pPr>
            <w:r w:rsidRPr="00453336">
              <w:rPr>
                <w:rFonts w:eastAsia="Times New Roman" w:cs="Arial"/>
                <w:sz w:val="16"/>
                <w:szCs w:val="16"/>
                <w:lang w:eastAsia="cs-CZ"/>
              </w:rPr>
              <w:t xml:space="preserve">7.1.1 </w:t>
            </w:r>
            <w:r w:rsidR="003E721F">
              <w:rPr>
                <w:rFonts w:eastAsia="Times New Roman" w:cs="Arial"/>
                <w:sz w:val="16"/>
                <w:szCs w:val="16"/>
                <w:lang w:eastAsia="cs-CZ"/>
              </w:rPr>
              <w:t>Revize, úpravy a doplnění komunikační strategie SDV a plánu komunikace podle aktuální situace.</w:t>
            </w:r>
          </w:p>
        </w:tc>
        <w:tc>
          <w:tcPr>
            <w:tcW w:w="992" w:type="dxa"/>
            <w:tcBorders>
              <w:top w:val="nil"/>
              <w:left w:val="nil"/>
              <w:bottom w:val="single" w:sz="4" w:space="0" w:color="auto"/>
              <w:right w:val="single" w:sz="4" w:space="0" w:color="auto"/>
            </w:tcBorders>
            <w:shd w:val="clear" w:color="auto" w:fill="auto"/>
            <w:hideMark/>
          </w:tcPr>
          <w:p w:rsidR="007B17FF" w:rsidRPr="00453336" w:rsidRDefault="007B17FF" w:rsidP="0045041A">
            <w:pPr>
              <w:spacing w:after="0" w:line="240" w:lineRule="auto"/>
              <w:rPr>
                <w:rFonts w:eastAsia="Times New Roman" w:cs="Arial"/>
                <w:sz w:val="16"/>
                <w:szCs w:val="16"/>
                <w:lang w:eastAsia="cs-CZ"/>
              </w:rPr>
            </w:pPr>
            <w:r w:rsidRPr="00453336">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3E721F" w:rsidRPr="003E721F" w:rsidRDefault="003E721F" w:rsidP="003E721F">
            <w:pPr>
              <w:spacing w:after="0" w:line="240" w:lineRule="auto"/>
              <w:rPr>
                <w:rFonts w:eastAsia="Times New Roman" w:cs="Arial"/>
                <w:b/>
                <w:sz w:val="16"/>
                <w:szCs w:val="16"/>
                <w:lang w:eastAsia="cs-CZ"/>
              </w:rPr>
            </w:pPr>
            <w:r w:rsidRPr="003E721F">
              <w:rPr>
                <w:rFonts w:eastAsia="Times New Roman" w:cs="Arial"/>
                <w:b/>
                <w:sz w:val="16"/>
                <w:szCs w:val="16"/>
                <w:lang w:eastAsia="cs-CZ"/>
              </w:rPr>
              <w:t>Pokrok</w:t>
            </w:r>
          </w:p>
          <w:p w:rsidR="003E721F" w:rsidRPr="003E721F" w:rsidRDefault="003E721F" w:rsidP="003E721F">
            <w:pPr>
              <w:spacing w:after="0" w:line="240" w:lineRule="auto"/>
              <w:rPr>
                <w:rFonts w:eastAsia="Times New Roman" w:cs="Arial"/>
                <w:sz w:val="16"/>
                <w:szCs w:val="16"/>
                <w:lang w:eastAsia="cs-CZ"/>
              </w:rPr>
            </w:pPr>
            <w:r w:rsidRPr="003E721F">
              <w:rPr>
                <w:rFonts w:eastAsia="Times New Roman" w:cs="Arial"/>
                <w:sz w:val="16"/>
                <w:szCs w:val="16"/>
                <w:lang w:eastAsia="cs-CZ"/>
              </w:rPr>
              <w:t>Kampaň bude realizována především prostřednictvím projektů financovaných z OP VVV:</w:t>
            </w:r>
          </w:p>
          <w:p w:rsidR="003E721F" w:rsidRPr="003E721F" w:rsidRDefault="003E721F" w:rsidP="003E721F">
            <w:pPr>
              <w:spacing w:after="0" w:line="240" w:lineRule="auto"/>
              <w:rPr>
                <w:rFonts w:eastAsia="Times New Roman" w:cs="Arial"/>
                <w:sz w:val="16"/>
                <w:szCs w:val="16"/>
                <w:lang w:eastAsia="cs-CZ"/>
              </w:rPr>
            </w:pPr>
            <w:r w:rsidRPr="003E721F">
              <w:rPr>
                <w:rFonts w:eastAsia="Times New Roman" w:cs="Arial"/>
                <w:sz w:val="16"/>
                <w:szCs w:val="16"/>
                <w:lang w:eastAsia="cs-CZ"/>
              </w:rPr>
              <w:t>a)„Implementace Strategie digitálního vzdělávání 1“ (zahájení realizace 1. 1. 2018)</w:t>
            </w:r>
          </w:p>
          <w:p w:rsidR="003E721F" w:rsidRPr="003E721F" w:rsidRDefault="003E721F" w:rsidP="003E721F">
            <w:pPr>
              <w:spacing w:after="0" w:line="240" w:lineRule="auto"/>
              <w:rPr>
                <w:rFonts w:eastAsia="Times New Roman" w:cs="Arial"/>
                <w:sz w:val="16"/>
                <w:szCs w:val="16"/>
                <w:lang w:eastAsia="cs-CZ"/>
              </w:rPr>
            </w:pPr>
            <w:r w:rsidRPr="003E721F">
              <w:rPr>
                <w:rFonts w:eastAsia="Times New Roman" w:cs="Arial"/>
                <w:sz w:val="16"/>
                <w:szCs w:val="16"/>
                <w:lang w:eastAsia="cs-CZ"/>
              </w:rPr>
              <w:t>b) „Podpora práce učitele“ (projekt realizuje NUV od 1. 12. 2016)</w:t>
            </w:r>
          </w:p>
          <w:p w:rsidR="007B17FF" w:rsidRPr="00453336" w:rsidRDefault="003E721F" w:rsidP="003E721F">
            <w:pPr>
              <w:spacing w:after="0" w:line="240" w:lineRule="auto"/>
              <w:rPr>
                <w:rFonts w:eastAsia="Times New Roman" w:cs="Arial"/>
                <w:sz w:val="16"/>
                <w:szCs w:val="16"/>
                <w:lang w:eastAsia="cs-CZ"/>
              </w:rPr>
            </w:pPr>
            <w:r w:rsidRPr="003E721F">
              <w:rPr>
                <w:rFonts w:eastAsia="Times New Roman" w:cs="Arial"/>
                <w:sz w:val="16"/>
                <w:szCs w:val="16"/>
                <w:lang w:eastAsia="cs-CZ"/>
              </w:rPr>
              <w:t>c) „Pregraduální vzdělávání I, II“ a dalších</w:t>
            </w:r>
          </w:p>
        </w:tc>
        <w:tc>
          <w:tcPr>
            <w:tcW w:w="1275" w:type="dxa"/>
            <w:tcBorders>
              <w:top w:val="nil"/>
              <w:left w:val="nil"/>
              <w:bottom w:val="single" w:sz="4" w:space="0" w:color="auto"/>
              <w:right w:val="single" w:sz="4" w:space="0" w:color="auto"/>
            </w:tcBorders>
            <w:shd w:val="clear" w:color="auto" w:fill="auto"/>
            <w:hideMark/>
          </w:tcPr>
          <w:p w:rsidR="007B17FF" w:rsidRPr="00453336" w:rsidRDefault="003E721F" w:rsidP="0045041A">
            <w:pPr>
              <w:spacing w:after="0" w:line="240" w:lineRule="auto"/>
              <w:jc w:val="center"/>
              <w:rPr>
                <w:rFonts w:eastAsia="Times New Roman" w:cs="Arial"/>
                <w:sz w:val="16"/>
                <w:szCs w:val="16"/>
                <w:lang w:eastAsia="cs-CZ"/>
              </w:rPr>
            </w:pPr>
            <w:r>
              <w:rPr>
                <w:rFonts w:eastAsia="Times New Roman" w:cs="Arial"/>
                <w:sz w:val="16"/>
                <w:szCs w:val="16"/>
                <w:lang w:eastAsia="cs-CZ"/>
              </w:rPr>
              <w:t>Průběžně</w:t>
            </w:r>
          </w:p>
        </w:tc>
        <w:tc>
          <w:tcPr>
            <w:tcW w:w="2835" w:type="dxa"/>
            <w:tcBorders>
              <w:top w:val="nil"/>
              <w:left w:val="nil"/>
              <w:bottom w:val="single" w:sz="4" w:space="0" w:color="auto"/>
              <w:right w:val="single" w:sz="4" w:space="0" w:color="auto"/>
            </w:tcBorders>
            <w:shd w:val="clear" w:color="auto" w:fill="auto"/>
            <w:hideMark/>
          </w:tcPr>
          <w:p w:rsidR="007B17FF" w:rsidRPr="00453336" w:rsidRDefault="007B17FF" w:rsidP="003E721F">
            <w:pPr>
              <w:spacing w:after="0" w:line="240" w:lineRule="auto"/>
              <w:rPr>
                <w:rFonts w:eastAsia="Times New Roman" w:cs="Arial"/>
                <w:sz w:val="16"/>
                <w:szCs w:val="16"/>
                <w:lang w:eastAsia="cs-CZ"/>
              </w:rPr>
            </w:pPr>
          </w:p>
        </w:tc>
      </w:tr>
      <w:tr w:rsidR="007B17FF" w:rsidRPr="00453336" w:rsidTr="007B17FF">
        <w:trPr>
          <w:trHeight w:val="900"/>
        </w:trPr>
        <w:tc>
          <w:tcPr>
            <w:tcW w:w="1226" w:type="dxa"/>
            <w:vMerge/>
            <w:tcBorders>
              <w:top w:val="nil"/>
              <w:left w:val="single" w:sz="4" w:space="0" w:color="auto"/>
              <w:bottom w:val="single" w:sz="4" w:space="0" w:color="auto"/>
              <w:right w:val="single" w:sz="4" w:space="0" w:color="auto"/>
            </w:tcBorders>
            <w:vAlign w:val="center"/>
            <w:hideMark/>
          </w:tcPr>
          <w:p w:rsidR="007B17FF" w:rsidRPr="00453336" w:rsidRDefault="007B17FF" w:rsidP="0045041A">
            <w:pPr>
              <w:spacing w:after="0" w:line="240" w:lineRule="auto"/>
              <w:rPr>
                <w:rFonts w:eastAsia="Times New Roman" w:cs="Arial"/>
                <w:sz w:val="16"/>
                <w:szCs w:val="16"/>
                <w:lang w:eastAsia="cs-CZ"/>
              </w:rPr>
            </w:pPr>
          </w:p>
        </w:tc>
        <w:tc>
          <w:tcPr>
            <w:tcW w:w="3027" w:type="dxa"/>
            <w:tcBorders>
              <w:top w:val="nil"/>
              <w:left w:val="nil"/>
              <w:bottom w:val="single" w:sz="4" w:space="0" w:color="auto"/>
              <w:right w:val="single" w:sz="4" w:space="0" w:color="auto"/>
            </w:tcBorders>
            <w:shd w:val="clear" w:color="auto" w:fill="auto"/>
            <w:hideMark/>
          </w:tcPr>
          <w:p w:rsidR="007B17FF" w:rsidRPr="00453336" w:rsidRDefault="007B17FF" w:rsidP="0045041A">
            <w:pPr>
              <w:spacing w:after="0" w:line="240" w:lineRule="auto"/>
              <w:rPr>
                <w:rFonts w:eastAsia="Times New Roman" w:cs="Arial"/>
                <w:sz w:val="16"/>
                <w:szCs w:val="16"/>
                <w:lang w:eastAsia="cs-CZ"/>
              </w:rPr>
            </w:pPr>
            <w:r w:rsidRPr="00453336">
              <w:rPr>
                <w:rFonts w:eastAsia="Times New Roman" w:cs="Arial"/>
                <w:sz w:val="16"/>
                <w:szCs w:val="16"/>
                <w:lang w:eastAsia="cs-CZ"/>
              </w:rPr>
              <w:t xml:space="preserve">7.1.2 Realizace komunikační strategie </w:t>
            </w:r>
            <w:proofErr w:type="spellStart"/>
            <w:r w:rsidRPr="00453336">
              <w:rPr>
                <w:rFonts w:eastAsia="Times New Roman" w:cs="Arial"/>
                <w:sz w:val="16"/>
                <w:szCs w:val="16"/>
                <w:lang w:eastAsia="cs-CZ"/>
              </w:rPr>
              <w:t>Stategie</w:t>
            </w:r>
            <w:proofErr w:type="spellEnd"/>
            <w:r w:rsidRPr="00453336">
              <w:rPr>
                <w:rFonts w:eastAsia="Times New Roman" w:cs="Arial"/>
                <w:sz w:val="16"/>
                <w:szCs w:val="16"/>
                <w:lang w:eastAsia="cs-CZ"/>
              </w:rPr>
              <w:t xml:space="preserve"> digitálního vzdělávání dle stanoveného harmonogramu a plánu komunikace.</w:t>
            </w:r>
          </w:p>
        </w:tc>
        <w:tc>
          <w:tcPr>
            <w:tcW w:w="992" w:type="dxa"/>
            <w:tcBorders>
              <w:top w:val="nil"/>
              <w:left w:val="nil"/>
              <w:bottom w:val="single" w:sz="4" w:space="0" w:color="auto"/>
              <w:right w:val="single" w:sz="4" w:space="0" w:color="auto"/>
            </w:tcBorders>
            <w:shd w:val="clear" w:color="auto" w:fill="auto"/>
            <w:hideMark/>
          </w:tcPr>
          <w:p w:rsidR="007B17FF" w:rsidRPr="00453336" w:rsidRDefault="007B17FF" w:rsidP="0045041A">
            <w:pPr>
              <w:spacing w:after="0" w:line="240" w:lineRule="auto"/>
              <w:rPr>
                <w:rFonts w:eastAsia="Times New Roman" w:cs="Arial"/>
                <w:sz w:val="16"/>
                <w:szCs w:val="16"/>
                <w:lang w:eastAsia="cs-CZ"/>
              </w:rPr>
            </w:pPr>
            <w:r w:rsidRPr="00453336">
              <w:rPr>
                <w:rFonts w:eastAsia="Times New Roman" w:cs="Arial"/>
                <w:sz w:val="16"/>
                <w:szCs w:val="16"/>
                <w:lang w:eastAsia="cs-CZ"/>
              </w:rPr>
              <w:t>MŠMT, OPŘO</w:t>
            </w:r>
          </w:p>
        </w:tc>
        <w:tc>
          <w:tcPr>
            <w:tcW w:w="5954" w:type="dxa"/>
            <w:tcBorders>
              <w:top w:val="nil"/>
              <w:left w:val="nil"/>
              <w:bottom w:val="single" w:sz="4" w:space="0" w:color="auto"/>
              <w:right w:val="single" w:sz="4" w:space="0" w:color="auto"/>
            </w:tcBorders>
            <w:shd w:val="clear" w:color="auto" w:fill="auto"/>
            <w:hideMark/>
          </w:tcPr>
          <w:p w:rsidR="007B17FF" w:rsidRPr="00495106" w:rsidRDefault="007B17FF" w:rsidP="00C71837">
            <w:pPr>
              <w:spacing w:after="0" w:line="240" w:lineRule="auto"/>
              <w:rPr>
                <w:rFonts w:eastAsia="Times New Roman" w:cs="Arial"/>
                <w:b/>
                <w:sz w:val="16"/>
                <w:szCs w:val="16"/>
                <w:lang w:eastAsia="cs-CZ"/>
              </w:rPr>
            </w:pPr>
            <w:r w:rsidRPr="00495106">
              <w:rPr>
                <w:rFonts w:eastAsia="Times New Roman" w:cs="Arial"/>
                <w:b/>
                <w:sz w:val="16"/>
                <w:szCs w:val="16"/>
                <w:lang w:eastAsia="cs-CZ"/>
              </w:rPr>
              <w:t>Pokrok</w:t>
            </w:r>
          </w:p>
          <w:p w:rsidR="007B17FF" w:rsidRPr="008878DA" w:rsidRDefault="007B17FF" w:rsidP="008878DA">
            <w:pPr>
              <w:spacing w:after="0" w:line="240" w:lineRule="auto"/>
              <w:rPr>
                <w:rFonts w:eastAsia="Times New Roman" w:cs="Arial"/>
                <w:sz w:val="16"/>
                <w:szCs w:val="16"/>
                <w:lang w:eastAsia="cs-CZ"/>
              </w:rPr>
            </w:pPr>
            <w:r w:rsidRPr="008878DA">
              <w:rPr>
                <w:rFonts w:eastAsia="Times New Roman" w:cs="Arial"/>
                <w:sz w:val="16"/>
                <w:szCs w:val="16"/>
                <w:lang w:eastAsia="cs-CZ"/>
              </w:rPr>
              <w:t>Prezentace myšlenek, cílů a realizace SDV probíhala těmito formami:</w:t>
            </w:r>
          </w:p>
          <w:p w:rsidR="007B17FF" w:rsidRPr="008878DA" w:rsidRDefault="007B17FF" w:rsidP="00246A0B">
            <w:pPr>
              <w:pStyle w:val="Odstavecseseznamem"/>
              <w:numPr>
                <w:ilvl w:val="0"/>
                <w:numId w:val="12"/>
              </w:numPr>
              <w:spacing w:after="0" w:line="240" w:lineRule="auto"/>
              <w:ind w:left="214" w:hanging="218"/>
              <w:rPr>
                <w:rFonts w:eastAsia="Times New Roman" w:cs="Arial"/>
                <w:sz w:val="16"/>
                <w:szCs w:val="16"/>
                <w:lang w:eastAsia="cs-CZ"/>
              </w:rPr>
            </w:pPr>
            <w:r w:rsidRPr="008878DA">
              <w:rPr>
                <w:rFonts w:eastAsia="Times New Roman" w:cs="Arial"/>
                <w:sz w:val="16"/>
                <w:szCs w:val="16"/>
                <w:lang w:eastAsia="cs-CZ"/>
              </w:rPr>
              <w:t xml:space="preserve">Webové stránky SDV (vznik červenec 2016, </w:t>
            </w:r>
            <w:hyperlink r:id="rId18" w:history="1">
              <w:r w:rsidR="00F85124" w:rsidRPr="000C77C1">
                <w:rPr>
                  <w:rStyle w:val="Hypertextovodkaz"/>
                  <w:rFonts w:eastAsia="Times New Roman" w:cs="Arial"/>
                  <w:sz w:val="16"/>
                  <w:szCs w:val="16"/>
                  <w:lang w:eastAsia="cs-CZ"/>
                </w:rPr>
                <w:t>http://www.msmt.cz/vzdelavani/skolstvi-v-cr/strategie-digitalniho-vzdelavani-do-roku-2020</w:t>
              </w:r>
            </w:hyperlink>
            <w:r w:rsidR="00F85124">
              <w:rPr>
                <w:rFonts w:eastAsia="Times New Roman" w:cs="Arial"/>
                <w:sz w:val="16"/>
                <w:szCs w:val="16"/>
                <w:lang w:eastAsia="cs-CZ"/>
              </w:rPr>
              <w:t xml:space="preserve">). </w:t>
            </w:r>
            <w:r w:rsidRPr="008878DA">
              <w:rPr>
                <w:rFonts w:eastAsia="Times New Roman" w:cs="Arial"/>
                <w:sz w:val="16"/>
                <w:szCs w:val="16"/>
                <w:lang w:eastAsia="cs-CZ"/>
              </w:rPr>
              <w:t>Zde formou otázek a odpovědí jsou vysvětleny hlavní cíle SDV, aktuálně informace o plnění jednotlivých opatření a uve</w:t>
            </w:r>
            <w:r w:rsidR="00E93A34">
              <w:rPr>
                <w:rFonts w:eastAsia="Times New Roman" w:cs="Arial"/>
                <w:sz w:val="16"/>
                <w:szCs w:val="16"/>
                <w:lang w:eastAsia="cs-CZ"/>
              </w:rPr>
              <w:t>de</w:t>
            </w:r>
            <w:r w:rsidRPr="008878DA">
              <w:rPr>
                <w:rFonts w:eastAsia="Times New Roman" w:cs="Arial"/>
                <w:sz w:val="16"/>
                <w:szCs w:val="16"/>
                <w:lang w:eastAsia="cs-CZ"/>
              </w:rPr>
              <w:t>ny klíčové dokumenty, které s SDV bezprostředně souvisí.</w:t>
            </w:r>
          </w:p>
          <w:p w:rsidR="007B17FF" w:rsidRPr="008878DA" w:rsidRDefault="007B17FF" w:rsidP="00246A0B">
            <w:pPr>
              <w:pStyle w:val="Odstavecseseznamem"/>
              <w:numPr>
                <w:ilvl w:val="0"/>
                <w:numId w:val="12"/>
              </w:numPr>
              <w:spacing w:after="0" w:line="240" w:lineRule="auto"/>
              <w:ind w:left="214" w:hanging="218"/>
              <w:rPr>
                <w:rFonts w:eastAsia="Times New Roman" w:cs="Arial"/>
                <w:sz w:val="16"/>
                <w:szCs w:val="16"/>
                <w:lang w:eastAsia="cs-CZ"/>
              </w:rPr>
            </w:pPr>
            <w:r w:rsidRPr="008878DA">
              <w:rPr>
                <w:rFonts w:eastAsia="Times New Roman" w:cs="Arial"/>
                <w:sz w:val="16"/>
                <w:szCs w:val="16"/>
                <w:lang w:eastAsia="cs-CZ"/>
              </w:rPr>
              <w:t>Projekty OP VVV: Celá řada opatření Strategie digitálního vzdělávání do roku 2020 bude naplňována v rámci výzev OP VVV. Součástí těchto projektů je i úkol popularizovat myšlenky SDV.</w:t>
            </w:r>
          </w:p>
          <w:p w:rsidR="007B17FF" w:rsidRPr="008878DA" w:rsidRDefault="007B17FF" w:rsidP="00246A0B">
            <w:pPr>
              <w:pStyle w:val="Odstavecseseznamem"/>
              <w:numPr>
                <w:ilvl w:val="0"/>
                <w:numId w:val="12"/>
              </w:numPr>
              <w:spacing w:after="0" w:line="240" w:lineRule="auto"/>
              <w:ind w:left="214" w:hanging="218"/>
              <w:rPr>
                <w:rFonts w:eastAsia="Times New Roman" w:cs="Arial"/>
                <w:sz w:val="16"/>
                <w:szCs w:val="16"/>
                <w:lang w:eastAsia="cs-CZ"/>
              </w:rPr>
            </w:pPr>
            <w:r w:rsidRPr="008878DA">
              <w:rPr>
                <w:rFonts w:eastAsia="Times New Roman" w:cs="Arial"/>
                <w:sz w:val="16"/>
                <w:szCs w:val="16"/>
                <w:lang w:eastAsia="cs-CZ"/>
              </w:rPr>
              <w:t>Prezentace formou článků v tisku a na internetu.</w:t>
            </w:r>
          </w:p>
          <w:p w:rsidR="007B17FF" w:rsidRPr="008878DA" w:rsidRDefault="007B17FF" w:rsidP="00246A0B">
            <w:pPr>
              <w:pStyle w:val="Odstavecseseznamem"/>
              <w:numPr>
                <w:ilvl w:val="0"/>
                <w:numId w:val="12"/>
              </w:numPr>
              <w:spacing w:after="0" w:line="240" w:lineRule="auto"/>
              <w:ind w:left="214" w:hanging="218"/>
              <w:rPr>
                <w:rFonts w:eastAsia="Times New Roman" w:cs="Arial"/>
                <w:sz w:val="16"/>
                <w:szCs w:val="16"/>
                <w:lang w:eastAsia="cs-CZ"/>
              </w:rPr>
            </w:pPr>
            <w:r w:rsidRPr="008878DA">
              <w:rPr>
                <w:rFonts w:eastAsia="Times New Roman" w:cs="Arial"/>
                <w:sz w:val="16"/>
                <w:szCs w:val="16"/>
                <w:lang w:eastAsia="cs-CZ"/>
              </w:rPr>
              <w:t>Prezentace formou přednášek či účastí na diskusních panelech.</w:t>
            </w:r>
          </w:p>
          <w:p w:rsidR="007B17FF" w:rsidRPr="00453336" w:rsidRDefault="007B17FF" w:rsidP="00246A0B">
            <w:pPr>
              <w:pStyle w:val="Odstavecseseznamem"/>
              <w:numPr>
                <w:ilvl w:val="0"/>
                <w:numId w:val="12"/>
              </w:numPr>
              <w:spacing w:after="0" w:line="240" w:lineRule="auto"/>
              <w:ind w:left="214" w:hanging="218"/>
              <w:rPr>
                <w:rFonts w:eastAsia="Times New Roman" w:cs="Arial"/>
                <w:sz w:val="16"/>
                <w:szCs w:val="16"/>
                <w:lang w:eastAsia="cs-CZ"/>
              </w:rPr>
            </w:pPr>
            <w:r w:rsidRPr="008878DA">
              <w:rPr>
                <w:rFonts w:eastAsia="Times New Roman" w:cs="Arial"/>
                <w:sz w:val="16"/>
                <w:szCs w:val="16"/>
                <w:lang w:eastAsia="cs-CZ"/>
              </w:rPr>
              <w:t>Prezentace formou rozhlasových pořadů.</w:t>
            </w:r>
          </w:p>
        </w:tc>
        <w:tc>
          <w:tcPr>
            <w:tcW w:w="1275" w:type="dxa"/>
            <w:tcBorders>
              <w:top w:val="nil"/>
              <w:left w:val="nil"/>
              <w:bottom w:val="single" w:sz="4" w:space="0" w:color="auto"/>
              <w:right w:val="single" w:sz="4" w:space="0" w:color="auto"/>
            </w:tcBorders>
            <w:shd w:val="clear" w:color="auto" w:fill="auto"/>
            <w:hideMark/>
          </w:tcPr>
          <w:p w:rsidR="007B17FF" w:rsidRPr="00453336" w:rsidRDefault="007B17FF" w:rsidP="0045041A">
            <w:pPr>
              <w:spacing w:after="0" w:line="240" w:lineRule="auto"/>
              <w:jc w:val="center"/>
              <w:rPr>
                <w:rFonts w:eastAsia="Times New Roman" w:cs="Arial"/>
                <w:sz w:val="16"/>
                <w:szCs w:val="16"/>
                <w:lang w:eastAsia="cs-CZ"/>
              </w:rPr>
            </w:pPr>
            <w:r w:rsidRPr="00453336">
              <w:rPr>
                <w:rFonts w:eastAsia="Times New Roman" w:cs="Arial"/>
                <w:sz w:val="16"/>
                <w:szCs w:val="16"/>
                <w:lang w:eastAsia="cs-CZ"/>
              </w:rPr>
              <w:t>31. 3 2015, průběžně</w:t>
            </w:r>
          </w:p>
        </w:tc>
        <w:tc>
          <w:tcPr>
            <w:tcW w:w="2835" w:type="dxa"/>
            <w:tcBorders>
              <w:top w:val="nil"/>
              <w:left w:val="nil"/>
              <w:bottom w:val="single" w:sz="4" w:space="0" w:color="auto"/>
              <w:right w:val="single" w:sz="4" w:space="0" w:color="auto"/>
            </w:tcBorders>
            <w:shd w:val="clear" w:color="auto" w:fill="auto"/>
            <w:hideMark/>
          </w:tcPr>
          <w:p w:rsidR="007B17FF" w:rsidRPr="00453336" w:rsidRDefault="007B17FF" w:rsidP="0045041A">
            <w:pPr>
              <w:spacing w:after="0" w:line="240" w:lineRule="auto"/>
              <w:rPr>
                <w:rFonts w:eastAsia="Times New Roman" w:cs="Arial"/>
                <w:sz w:val="16"/>
                <w:szCs w:val="16"/>
                <w:lang w:eastAsia="cs-CZ"/>
              </w:rPr>
            </w:pPr>
            <w:r w:rsidRPr="00453336">
              <w:rPr>
                <w:rFonts w:eastAsia="Times New Roman" w:cs="Arial"/>
                <w:sz w:val="16"/>
                <w:szCs w:val="16"/>
                <w:lang w:eastAsia="cs-CZ"/>
              </w:rPr>
              <w:t> </w:t>
            </w:r>
          </w:p>
        </w:tc>
      </w:tr>
    </w:tbl>
    <w:p w:rsidR="00B74F3F" w:rsidRDefault="00B74F3F" w:rsidP="00B74F3F"/>
    <w:p w:rsidR="00B74F3F" w:rsidRDefault="00B74F3F" w:rsidP="00B74F3F">
      <w:pPr>
        <w:sectPr w:rsidR="00B74F3F" w:rsidSect="000E6580">
          <w:pgSz w:w="16838" w:h="11906" w:orient="landscape"/>
          <w:pgMar w:top="1134" w:right="680" w:bottom="851" w:left="680" w:header="709" w:footer="709" w:gutter="0"/>
          <w:cols w:space="708"/>
          <w:docGrid w:linePitch="360"/>
        </w:sectPr>
      </w:pPr>
    </w:p>
    <w:p w:rsidR="003B5FA1" w:rsidRDefault="003B5FA1" w:rsidP="003B5FA1">
      <w:pPr>
        <w:pStyle w:val="Nadpis1"/>
      </w:pPr>
      <w:bookmarkStart w:id="11" w:name="_Toc469572111"/>
      <w:r>
        <w:lastRenderedPageBreak/>
        <w:t>Seznam použitých zkratek:</w:t>
      </w:r>
      <w:bookmarkEnd w:id="11"/>
    </w:p>
    <w:p w:rsidR="003B5FA1" w:rsidRDefault="003B5FA1" w:rsidP="003B5FA1">
      <w:pPr>
        <w:spacing w:after="0"/>
      </w:pPr>
      <w:r>
        <w:t>ČNKDPM</w:t>
      </w:r>
      <w:r>
        <w:tab/>
        <w:t>Česká národní koalice pro digitální pracovní místa</w:t>
      </w:r>
    </w:p>
    <w:p w:rsidR="003B5FA1" w:rsidRDefault="003B5FA1" w:rsidP="003B5FA1">
      <w:pPr>
        <w:spacing w:after="0"/>
      </w:pPr>
      <w:r>
        <w:t>DG</w:t>
      </w:r>
      <w:r>
        <w:tab/>
      </w:r>
      <w:r>
        <w:tab/>
        <w:t>Digitální gramotnost</w:t>
      </w:r>
    </w:p>
    <w:p w:rsidR="003B5FA1" w:rsidRDefault="003B5FA1" w:rsidP="003B5FA1">
      <w:pPr>
        <w:spacing w:after="0"/>
      </w:pPr>
      <w:r>
        <w:t>DV</w:t>
      </w:r>
      <w:r>
        <w:tab/>
      </w:r>
      <w:r>
        <w:tab/>
        <w:t>Další vzdělávání</w:t>
      </w:r>
    </w:p>
    <w:p w:rsidR="003B5FA1" w:rsidRDefault="003B5FA1" w:rsidP="003B5FA1">
      <w:pPr>
        <w:spacing w:after="0"/>
      </w:pPr>
      <w:r>
        <w:t>DVPP</w:t>
      </w:r>
      <w:r>
        <w:tab/>
      </w:r>
      <w:r>
        <w:tab/>
        <w:t>Další vzdělávání pedagogických pracovníků</w:t>
      </w:r>
    </w:p>
    <w:p w:rsidR="003B5FA1" w:rsidRDefault="003B5FA1" w:rsidP="003B5FA1">
      <w:pPr>
        <w:spacing w:after="0"/>
      </w:pPr>
      <w:r>
        <w:t>DT</w:t>
      </w:r>
      <w:r>
        <w:tab/>
      </w:r>
      <w:r>
        <w:tab/>
        <w:t>Digitální technologie</w:t>
      </w:r>
    </w:p>
    <w:p w:rsidR="003B5FA1" w:rsidRDefault="003B5FA1" w:rsidP="003B5FA1">
      <w:pPr>
        <w:spacing w:after="0"/>
      </w:pPr>
      <w:r>
        <w:t>ESF</w:t>
      </w:r>
      <w:r>
        <w:tab/>
      </w:r>
      <w:r>
        <w:tab/>
        <w:t>Evropský sociální fond</w:t>
      </w:r>
    </w:p>
    <w:p w:rsidR="003B5FA1" w:rsidRDefault="003B5FA1" w:rsidP="003B5FA1">
      <w:pPr>
        <w:spacing w:after="0"/>
      </w:pPr>
      <w:r>
        <w:t>ICT</w:t>
      </w:r>
      <w:r>
        <w:tab/>
      </w:r>
      <w:r>
        <w:tab/>
        <w:t>Informační a komunikační technologie</w:t>
      </w:r>
    </w:p>
    <w:p w:rsidR="00E93A34" w:rsidRDefault="003B5FA1" w:rsidP="003B5FA1">
      <w:pPr>
        <w:spacing w:after="0"/>
      </w:pPr>
      <w:r>
        <w:t>IM</w:t>
      </w:r>
      <w:r w:rsidR="00E93A34">
        <w:tab/>
      </w:r>
      <w:r w:rsidR="00E93A34">
        <w:tab/>
        <w:t>Informatické myšlení</w:t>
      </w:r>
    </w:p>
    <w:p w:rsidR="003B5FA1" w:rsidRDefault="00E93A34" w:rsidP="003B5FA1">
      <w:pPr>
        <w:spacing w:after="0"/>
      </w:pPr>
      <w:r>
        <w:t>IMKA</w:t>
      </w:r>
      <w:r w:rsidR="003B5FA1">
        <w:tab/>
      </w:r>
      <w:r w:rsidR="003B5FA1">
        <w:tab/>
      </w:r>
      <w:r>
        <w:t>Implementace kariérního systému učitelů</w:t>
      </w:r>
    </w:p>
    <w:p w:rsidR="003B5FA1" w:rsidRDefault="00770CDE" w:rsidP="003B5FA1">
      <w:pPr>
        <w:spacing w:after="0"/>
      </w:pPr>
      <w:proofErr w:type="spellStart"/>
      <w:r>
        <w:t>IPs</w:t>
      </w:r>
      <w:proofErr w:type="spellEnd"/>
      <w:r>
        <w:tab/>
      </w:r>
      <w:r>
        <w:tab/>
        <w:t>Individuální projekt systémový</w:t>
      </w:r>
    </w:p>
    <w:p w:rsidR="003B5FA1" w:rsidRDefault="003B5FA1" w:rsidP="003B5FA1">
      <w:pPr>
        <w:spacing w:after="0"/>
      </w:pPr>
      <w:r>
        <w:t>IPO</w:t>
      </w:r>
      <w:r>
        <w:tab/>
      </w:r>
      <w:r>
        <w:tab/>
        <w:t>Individuální projekt ostatní</w:t>
      </w:r>
    </w:p>
    <w:p w:rsidR="003B5FA1" w:rsidRDefault="003B5FA1" w:rsidP="003B5FA1">
      <w:pPr>
        <w:spacing w:after="0"/>
      </w:pPr>
      <w:r>
        <w:t>IROP</w:t>
      </w:r>
      <w:r>
        <w:tab/>
      </w:r>
      <w:r>
        <w:tab/>
        <w:t>Integrovaný regionální operační program</w:t>
      </w:r>
    </w:p>
    <w:p w:rsidR="003B5FA1" w:rsidRDefault="003B5FA1" w:rsidP="003B5FA1">
      <w:pPr>
        <w:spacing w:after="0"/>
      </w:pPr>
      <w:r>
        <w:t>ISDV I, II, III</w:t>
      </w:r>
      <w:r>
        <w:tab/>
        <w:t>Individuální projekt ostatní Implementace strategie digitálního vzdělávání I, II, III</w:t>
      </w:r>
    </w:p>
    <w:p w:rsidR="003B5FA1" w:rsidRDefault="003B5FA1" w:rsidP="003B5FA1">
      <w:pPr>
        <w:spacing w:after="0"/>
      </w:pPr>
      <w:r>
        <w:t>IT</w:t>
      </w:r>
      <w:r>
        <w:tab/>
      </w:r>
      <w:r>
        <w:tab/>
        <w:t>Informační technologie</w:t>
      </w:r>
    </w:p>
    <w:p w:rsidR="003B5FA1" w:rsidRDefault="003B5FA1" w:rsidP="003B5FA1">
      <w:pPr>
        <w:spacing w:after="0"/>
      </w:pPr>
      <w:r>
        <w:t>KAP</w:t>
      </w:r>
      <w:r>
        <w:tab/>
      </w:r>
      <w:r>
        <w:tab/>
        <w:t>Krajské akční plány</w:t>
      </w:r>
    </w:p>
    <w:p w:rsidR="003B5FA1" w:rsidRDefault="003B5FA1" w:rsidP="003B5FA1">
      <w:pPr>
        <w:spacing w:after="0"/>
      </w:pPr>
      <w:r>
        <w:t>KS</w:t>
      </w:r>
      <w:r>
        <w:tab/>
      </w:r>
      <w:r>
        <w:tab/>
        <w:t>Kariérní systém učitele</w:t>
      </w:r>
    </w:p>
    <w:p w:rsidR="003B5FA1" w:rsidRDefault="003B5FA1" w:rsidP="003B5FA1">
      <w:pPr>
        <w:spacing w:after="0"/>
      </w:pPr>
      <w:r>
        <w:t>MAP</w:t>
      </w:r>
      <w:r>
        <w:tab/>
      </w:r>
      <w:r>
        <w:tab/>
        <w:t>Místní akční plány</w:t>
      </w:r>
    </w:p>
    <w:p w:rsidR="003B5FA1" w:rsidRDefault="003B5FA1" w:rsidP="003B5FA1">
      <w:pPr>
        <w:spacing w:after="0"/>
      </w:pPr>
      <w:r>
        <w:t>MK</w:t>
      </w:r>
      <w:r>
        <w:tab/>
      </w:r>
      <w:r>
        <w:tab/>
        <w:t>Ministerstvo kultury</w:t>
      </w:r>
    </w:p>
    <w:p w:rsidR="003B5FA1" w:rsidRDefault="003B5FA1" w:rsidP="003B5FA1">
      <w:pPr>
        <w:spacing w:after="0"/>
      </w:pPr>
      <w:r>
        <w:t>MMR</w:t>
      </w:r>
      <w:r>
        <w:tab/>
      </w:r>
      <w:r>
        <w:tab/>
        <w:t>Ministerstvo pro místní rozvoj</w:t>
      </w:r>
    </w:p>
    <w:p w:rsidR="003B5FA1" w:rsidRDefault="003B5FA1" w:rsidP="003B5FA1">
      <w:pPr>
        <w:spacing w:after="0"/>
      </w:pPr>
      <w:r>
        <w:t>MPO</w:t>
      </w:r>
      <w:r>
        <w:tab/>
      </w:r>
      <w:r>
        <w:tab/>
        <w:t>Ministerstvo průmyslu a obchodu</w:t>
      </w:r>
    </w:p>
    <w:p w:rsidR="003B5FA1" w:rsidRDefault="003B5FA1" w:rsidP="003B5FA1">
      <w:pPr>
        <w:spacing w:after="0"/>
      </w:pPr>
      <w:r>
        <w:t>MV</w:t>
      </w:r>
      <w:r>
        <w:tab/>
      </w:r>
      <w:r>
        <w:tab/>
        <w:t>Monitorovací výbor</w:t>
      </w:r>
    </w:p>
    <w:p w:rsidR="003B5FA1" w:rsidRDefault="003B5FA1" w:rsidP="003B5FA1">
      <w:pPr>
        <w:spacing w:after="0"/>
      </w:pPr>
      <w:r>
        <w:t>NIDV</w:t>
      </w:r>
      <w:r>
        <w:tab/>
      </w:r>
      <w:r>
        <w:tab/>
        <w:t>Národní institut dalšího vzdělávání</w:t>
      </w:r>
    </w:p>
    <w:p w:rsidR="00E93A34" w:rsidRDefault="00E93A34" w:rsidP="003B5FA1">
      <w:pPr>
        <w:spacing w:after="0"/>
      </w:pPr>
      <w:r>
        <w:t>NNO</w:t>
      </w:r>
      <w:r>
        <w:tab/>
      </w:r>
      <w:r>
        <w:tab/>
        <w:t>Nestátní nezisková organizace</w:t>
      </w:r>
    </w:p>
    <w:p w:rsidR="003B5FA1" w:rsidRDefault="003B5FA1" w:rsidP="003B5FA1">
      <w:pPr>
        <w:spacing w:after="0"/>
      </w:pPr>
      <w:r>
        <w:t>NUV</w:t>
      </w:r>
      <w:r>
        <w:tab/>
      </w:r>
      <w:r>
        <w:tab/>
        <w:t>Národní ústav pro vzdělávání</w:t>
      </w:r>
    </w:p>
    <w:p w:rsidR="003B5FA1" w:rsidRDefault="003B5FA1" w:rsidP="003B5FA1">
      <w:pPr>
        <w:spacing w:after="0"/>
      </w:pPr>
      <w:r>
        <w:t>ONIV</w:t>
      </w:r>
      <w:r>
        <w:tab/>
      </w:r>
      <w:r>
        <w:tab/>
        <w:t>Ostatní neinvestiční výdaje</w:t>
      </w:r>
    </w:p>
    <w:p w:rsidR="003B5FA1" w:rsidRDefault="003B5FA1" w:rsidP="003B5FA1">
      <w:pPr>
        <w:spacing w:after="0"/>
      </w:pPr>
      <w:r>
        <w:t>OP</w:t>
      </w:r>
      <w:r>
        <w:tab/>
      </w:r>
      <w:r>
        <w:tab/>
        <w:t>Operační program</w:t>
      </w:r>
    </w:p>
    <w:p w:rsidR="003B5FA1" w:rsidRDefault="003B5FA1" w:rsidP="003B5FA1">
      <w:pPr>
        <w:spacing w:after="0"/>
      </w:pPr>
      <w:r>
        <w:t>OP VK</w:t>
      </w:r>
      <w:r>
        <w:tab/>
      </w:r>
      <w:r>
        <w:tab/>
        <w:t>Operační program Vzdělávání pro konkurenceschopnost</w:t>
      </w:r>
    </w:p>
    <w:p w:rsidR="003B5FA1" w:rsidRDefault="003B5FA1" w:rsidP="003B5FA1">
      <w:pPr>
        <w:spacing w:after="0"/>
      </w:pPr>
      <w:r>
        <w:t>OP VVV</w:t>
      </w:r>
      <w:r>
        <w:tab/>
      </w:r>
      <w:r>
        <w:tab/>
        <w:t>Operační program Výzkum, vývoj a vzdělávání</w:t>
      </w:r>
    </w:p>
    <w:p w:rsidR="003B5FA1" w:rsidRDefault="003B5FA1" w:rsidP="003B5FA1">
      <w:pPr>
        <w:spacing w:after="0"/>
      </w:pPr>
      <w:r>
        <w:t>ORP</w:t>
      </w:r>
      <w:r>
        <w:tab/>
      </w:r>
      <w:r>
        <w:tab/>
        <w:t>Obec s rozšířenou působností</w:t>
      </w:r>
    </w:p>
    <w:p w:rsidR="003B5FA1" w:rsidRDefault="003B5FA1" w:rsidP="003B5FA1">
      <w:pPr>
        <w:spacing w:after="0"/>
      </w:pPr>
      <w:r>
        <w:t>OPŘO</w:t>
      </w:r>
      <w:r>
        <w:tab/>
      </w:r>
      <w:r>
        <w:tab/>
        <w:t>Ostatní přímo řízené organizace</w:t>
      </w:r>
    </w:p>
    <w:p w:rsidR="00DE3625" w:rsidRDefault="00DE3625" w:rsidP="003B5FA1">
      <w:pPr>
        <w:spacing w:after="0"/>
      </w:pPr>
      <w:r>
        <w:t>PO</w:t>
      </w:r>
      <w:r>
        <w:tab/>
      </w:r>
      <w:r>
        <w:tab/>
        <w:t>Prioritní osa</w:t>
      </w:r>
    </w:p>
    <w:p w:rsidR="003B5FA1" w:rsidRDefault="003B5FA1" w:rsidP="003B5FA1">
      <w:pPr>
        <w:spacing w:after="0"/>
      </w:pPr>
      <w:r>
        <w:t>PPUČ</w:t>
      </w:r>
      <w:r>
        <w:tab/>
      </w:r>
      <w:r>
        <w:tab/>
        <w:t xml:space="preserve">Systémový projekt v rámci OP VVV Podpora práce </w:t>
      </w:r>
      <w:r w:rsidR="009C1AC6">
        <w:t>učitelů</w:t>
      </w:r>
    </w:p>
    <w:p w:rsidR="00E93A34" w:rsidRDefault="00E93A34" w:rsidP="003B5FA1">
      <w:pPr>
        <w:spacing w:after="0"/>
      </w:pPr>
      <w:r>
        <w:t>RGŠ</w:t>
      </w:r>
      <w:r>
        <w:tab/>
      </w:r>
      <w:r>
        <w:tab/>
        <w:t>Regionální školství</w:t>
      </w:r>
    </w:p>
    <w:p w:rsidR="003B5FA1" w:rsidRDefault="003B5FA1" w:rsidP="003B5FA1">
      <w:pPr>
        <w:spacing w:after="0"/>
      </w:pPr>
      <w:r>
        <w:t>RVP</w:t>
      </w:r>
      <w:r>
        <w:tab/>
      </w:r>
      <w:r>
        <w:tab/>
        <w:t>Rámcový vzdělávací program</w:t>
      </w:r>
    </w:p>
    <w:p w:rsidR="003B5FA1" w:rsidRDefault="003B5FA1" w:rsidP="003B5FA1">
      <w:pPr>
        <w:spacing w:after="0"/>
      </w:pPr>
      <w:r>
        <w:t>RVP PV, ZV, GV, SOV</w:t>
      </w:r>
      <w:r>
        <w:tab/>
        <w:t>Rámcový vzdělávací program pro předškolní, základní, gymnaziální a střední odborné vzdělávání</w:t>
      </w:r>
    </w:p>
    <w:p w:rsidR="00E93A34" w:rsidRDefault="00E93A34" w:rsidP="003B5FA1">
      <w:pPr>
        <w:spacing w:after="0"/>
      </w:pPr>
      <w:r>
        <w:t>ŘO OP VVV</w:t>
      </w:r>
      <w:r>
        <w:tab/>
      </w:r>
      <w:r w:rsidR="008052F2">
        <w:t>Řídicí</w:t>
      </w:r>
      <w:r>
        <w:t xml:space="preserve"> orgán OP VVV</w:t>
      </w:r>
    </w:p>
    <w:p w:rsidR="003B5FA1" w:rsidRDefault="003B5FA1" w:rsidP="003B5FA1">
      <w:pPr>
        <w:spacing w:after="0"/>
      </w:pPr>
      <w:r>
        <w:t>ŘV</w:t>
      </w:r>
      <w:r>
        <w:tab/>
      </w:r>
      <w:r>
        <w:tab/>
      </w:r>
      <w:r w:rsidR="008052F2">
        <w:t>Řídicí</w:t>
      </w:r>
      <w:r>
        <w:t xml:space="preserve"> výbor</w:t>
      </w:r>
    </w:p>
    <w:p w:rsidR="003B5FA1" w:rsidRDefault="003B5FA1" w:rsidP="003B5FA1">
      <w:pPr>
        <w:spacing w:after="0"/>
      </w:pPr>
      <w:r>
        <w:t>SDV</w:t>
      </w:r>
      <w:r>
        <w:tab/>
      </w:r>
      <w:r>
        <w:tab/>
        <w:t>Strategie digitálního vzdělávání do roku 2020</w:t>
      </w:r>
    </w:p>
    <w:p w:rsidR="00DE3625" w:rsidRDefault="00E93A34" w:rsidP="003B5FA1">
      <w:pPr>
        <w:spacing w:after="0"/>
      </w:pPr>
      <w:r>
        <w:t>SO</w:t>
      </w:r>
      <w:r w:rsidR="00DE3625">
        <w:t>Č</w:t>
      </w:r>
      <w:r w:rsidR="00DE3625">
        <w:tab/>
      </w:r>
      <w:r w:rsidR="00DE3625">
        <w:tab/>
        <w:t>Středoškolská odborná činnost</w:t>
      </w:r>
    </w:p>
    <w:p w:rsidR="003B5FA1" w:rsidRDefault="003B5FA1" w:rsidP="003B5FA1">
      <w:pPr>
        <w:spacing w:after="0"/>
      </w:pPr>
      <w:r>
        <w:t>TA ČR</w:t>
      </w:r>
      <w:r>
        <w:tab/>
      </w:r>
      <w:r>
        <w:tab/>
        <w:t>Technologická agentura České republiky</w:t>
      </w:r>
    </w:p>
    <w:p w:rsidR="00F45F02" w:rsidRDefault="00F45F02"/>
    <w:sectPr w:rsidR="00F45F02" w:rsidSect="00FF2D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4F" w:rsidRDefault="0006274F" w:rsidP="00F57D50">
      <w:pPr>
        <w:spacing w:after="0" w:line="240" w:lineRule="auto"/>
      </w:pPr>
      <w:r>
        <w:separator/>
      </w:r>
    </w:p>
  </w:endnote>
  <w:endnote w:type="continuationSeparator" w:id="0">
    <w:p w:rsidR="0006274F" w:rsidRDefault="0006274F" w:rsidP="00F5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00" w:rsidRDefault="00505A00">
    <w:pPr>
      <w:pStyle w:val="Zpat"/>
      <w:jc w:val="right"/>
    </w:pPr>
  </w:p>
  <w:p w:rsidR="00505A00" w:rsidRDefault="00505A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79228"/>
      <w:docPartObj>
        <w:docPartGallery w:val="Page Numbers (Bottom of Page)"/>
        <w:docPartUnique/>
      </w:docPartObj>
    </w:sdtPr>
    <w:sdtEndPr/>
    <w:sdtContent>
      <w:p w:rsidR="00505A00" w:rsidRDefault="00505A00">
        <w:pPr>
          <w:pStyle w:val="Zpat"/>
          <w:jc w:val="right"/>
        </w:pPr>
        <w:r>
          <w:fldChar w:fldCharType="begin"/>
        </w:r>
        <w:r>
          <w:instrText>PAGE   \* MERGEFORMAT</w:instrText>
        </w:r>
        <w:r>
          <w:fldChar w:fldCharType="separate"/>
        </w:r>
        <w:r w:rsidR="00902257">
          <w:rPr>
            <w:noProof/>
          </w:rPr>
          <w:t>26</w:t>
        </w:r>
        <w:r>
          <w:fldChar w:fldCharType="end"/>
        </w:r>
      </w:p>
    </w:sdtContent>
  </w:sdt>
  <w:p w:rsidR="00505A00" w:rsidRDefault="00505A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4F" w:rsidRDefault="0006274F" w:rsidP="00F57D50">
      <w:pPr>
        <w:spacing w:after="0" w:line="240" w:lineRule="auto"/>
      </w:pPr>
      <w:r>
        <w:separator/>
      </w:r>
    </w:p>
  </w:footnote>
  <w:footnote w:type="continuationSeparator" w:id="0">
    <w:p w:rsidR="0006274F" w:rsidRDefault="0006274F" w:rsidP="00F57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00" w:rsidRDefault="00505A00" w:rsidP="00DD570C">
    <w:pPr>
      <w:pStyle w:val="Zhlav"/>
    </w:pPr>
    <w:r>
      <w:t>Materiál pro jednání PV</w:t>
    </w:r>
  </w:p>
  <w:p w:rsidR="00505A00" w:rsidRDefault="00505A00" w:rsidP="00DD570C">
    <w:pPr>
      <w:pStyle w:val="Zhlav"/>
    </w:pPr>
    <w:proofErr w:type="gramStart"/>
    <w:r>
      <w:t>č.j.</w:t>
    </w:r>
    <w:proofErr w:type="gramEnd"/>
    <w:r>
      <w:t>:</w:t>
    </w:r>
  </w:p>
  <w:p w:rsidR="00505A00" w:rsidRDefault="00505A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425"/>
    <w:multiLevelType w:val="hybridMultilevel"/>
    <w:tmpl w:val="B28E8D5E"/>
    <w:lvl w:ilvl="0" w:tplc="DE2A6B9C">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452FD6"/>
    <w:multiLevelType w:val="hybridMultilevel"/>
    <w:tmpl w:val="C8E45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02CE2"/>
    <w:multiLevelType w:val="hybridMultilevel"/>
    <w:tmpl w:val="08921A88"/>
    <w:lvl w:ilvl="0" w:tplc="A99651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91FEA"/>
    <w:multiLevelType w:val="hybridMultilevel"/>
    <w:tmpl w:val="E8D0399C"/>
    <w:lvl w:ilvl="0" w:tplc="0405000F">
      <w:start w:val="1"/>
      <w:numFmt w:val="decimal"/>
      <w:lvlText w:val="%1."/>
      <w:lvlJc w:val="left"/>
      <w:pPr>
        <w:ind w:left="1092" w:hanging="360"/>
      </w:pPr>
      <w:rPr>
        <w:rFonts w:hint="default"/>
      </w:r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4" w15:restartNumberingAfterBreak="0">
    <w:nsid w:val="0FB41F8B"/>
    <w:multiLevelType w:val="hybridMultilevel"/>
    <w:tmpl w:val="FDB0D7D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1D2277"/>
    <w:multiLevelType w:val="hybridMultilevel"/>
    <w:tmpl w:val="1A5468FE"/>
    <w:lvl w:ilvl="0" w:tplc="A99651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E5125"/>
    <w:multiLevelType w:val="hybridMultilevel"/>
    <w:tmpl w:val="2F505EB6"/>
    <w:lvl w:ilvl="0" w:tplc="5B5E8106">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06056"/>
    <w:multiLevelType w:val="hybridMultilevel"/>
    <w:tmpl w:val="226E1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D50C15"/>
    <w:multiLevelType w:val="hybridMultilevel"/>
    <w:tmpl w:val="7D8E3B2C"/>
    <w:lvl w:ilvl="0" w:tplc="A99651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AA422C"/>
    <w:multiLevelType w:val="hybridMultilevel"/>
    <w:tmpl w:val="B0AC32C2"/>
    <w:lvl w:ilvl="0" w:tplc="A99651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245B25"/>
    <w:multiLevelType w:val="hybridMultilevel"/>
    <w:tmpl w:val="A872C4C6"/>
    <w:lvl w:ilvl="0" w:tplc="0405000F">
      <w:start w:val="1"/>
      <w:numFmt w:val="decimal"/>
      <w:lvlText w:val="%1."/>
      <w:lvlJc w:val="left"/>
      <w:pPr>
        <w:ind w:left="1092" w:hanging="360"/>
      </w:pPr>
      <w:rPr>
        <w:rFonts w:hint="default"/>
      </w:r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11" w15:restartNumberingAfterBreak="0">
    <w:nsid w:val="40437BBE"/>
    <w:multiLevelType w:val="hybridMultilevel"/>
    <w:tmpl w:val="02DC0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E06762"/>
    <w:multiLevelType w:val="hybridMultilevel"/>
    <w:tmpl w:val="0F569E12"/>
    <w:lvl w:ilvl="0" w:tplc="A99651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2D67CB"/>
    <w:multiLevelType w:val="hybridMultilevel"/>
    <w:tmpl w:val="A872C4C6"/>
    <w:lvl w:ilvl="0" w:tplc="0405000F">
      <w:start w:val="1"/>
      <w:numFmt w:val="decimal"/>
      <w:lvlText w:val="%1."/>
      <w:lvlJc w:val="left"/>
      <w:pPr>
        <w:ind w:left="1092" w:hanging="360"/>
      </w:pPr>
      <w:rPr>
        <w:rFonts w:hint="default"/>
      </w:r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14" w15:restartNumberingAfterBreak="0">
    <w:nsid w:val="57B74E85"/>
    <w:multiLevelType w:val="hybridMultilevel"/>
    <w:tmpl w:val="BA34E352"/>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02D66A9"/>
    <w:multiLevelType w:val="hybridMultilevel"/>
    <w:tmpl w:val="D8F85E54"/>
    <w:lvl w:ilvl="0" w:tplc="6F7A34A4">
      <w:start w:val="1"/>
      <w:numFmt w:val="decimal"/>
      <w:pStyle w:val="Nadpis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8D24B7"/>
    <w:multiLevelType w:val="hybridMultilevel"/>
    <w:tmpl w:val="7FD8252A"/>
    <w:lvl w:ilvl="0" w:tplc="A996519E">
      <w:numFmt w:val="bullet"/>
      <w:lvlText w:val="•"/>
      <w:lvlJc w:val="left"/>
      <w:pPr>
        <w:ind w:left="720" w:hanging="360"/>
      </w:pPr>
      <w:rPr>
        <w:rFonts w:ascii="Calibri" w:eastAsiaTheme="minorHAnsi" w:hAnsi="Calibri" w:cstheme="minorBidi" w:hint="default"/>
      </w:rPr>
    </w:lvl>
    <w:lvl w:ilvl="1" w:tplc="613E0E5A">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EC7191"/>
    <w:multiLevelType w:val="hybridMultilevel"/>
    <w:tmpl w:val="3796C786"/>
    <w:lvl w:ilvl="0" w:tplc="A99651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8E4CB2"/>
    <w:multiLevelType w:val="hybridMultilevel"/>
    <w:tmpl w:val="75C0E2B6"/>
    <w:lvl w:ilvl="0" w:tplc="A996519E">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14"/>
  </w:num>
  <w:num w:numId="5">
    <w:abstractNumId w:val="3"/>
  </w:num>
  <w:num w:numId="6">
    <w:abstractNumId w:val="16"/>
  </w:num>
  <w:num w:numId="7">
    <w:abstractNumId w:val="6"/>
  </w:num>
  <w:num w:numId="8">
    <w:abstractNumId w:val="10"/>
  </w:num>
  <w:num w:numId="9">
    <w:abstractNumId w:val="1"/>
  </w:num>
  <w:num w:numId="10">
    <w:abstractNumId w:val="11"/>
  </w:num>
  <w:num w:numId="11">
    <w:abstractNumId w:val="17"/>
  </w:num>
  <w:num w:numId="12">
    <w:abstractNumId w:val="9"/>
  </w:num>
  <w:num w:numId="13">
    <w:abstractNumId w:val="0"/>
  </w:num>
  <w:num w:numId="14">
    <w:abstractNumId w:val="8"/>
  </w:num>
  <w:num w:numId="15">
    <w:abstractNumId w:val="13"/>
  </w:num>
  <w:num w:numId="16">
    <w:abstractNumId w:val="15"/>
  </w:num>
  <w:num w:numId="17">
    <w:abstractNumId w:val="2"/>
  </w:num>
  <w:num w:numId="18">
    <w:abstractNumId w:val="12"/>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B7"/>
    <w:rsid w:val="0001184C"/>
    <w:rsid w:val="000221C2"/>
    <w:rsid w:val="000229DC"/>
    <w:rsid w:val="000330B2"/>
    <w:rsid w:val="0004108C"/>
    <w:rsid w:val="00044A2B"/>
    <w:rsid w:val="000453B3"/>
    <w:rsid w:val="0005233B"/>
    <w:rsid w:val="0006274F"/>
    <w:rsid w:val="000647DF"/>
    <w:rsid w:val="000653C9"/>
    <w:rsid w:val="00072B66"/>
    <w:rsid w:val="00073094"/>
    <w:rsid w:val="00075925"/>
    <w:rsid w:val="00083E02"/>
    <w:rsid w:val="00086E49"/>
    <w:rsid w:val="000A2308"/>
    <w:rsid w:val="000A2B05"/>
    <w:rsid w:val="000B0D23"/>
    <w:rsid w:val="000C0549"/>
    <w:rsid w:val="000C3F2C"/>
    <w:rsid w:val="000E6580"/>
    <w:rsid w:val="000F68E5"/>
    <w:rsid w:val="00104A5F"/>
    <w:rsid w:val="001076EB"/>
    <w:rsid w:val="001108AE"/>
    <w:rsid w:val="00111131"/>
    <w:rsid w:val="00117B12"/>
    <w:rsid w:val="00122584"/>
    <w:rsid w:val="00122E4F"/>
    <w:rsid w:val="001249B6"/>
    <w:rsid w:val="00125BC5"/>
    <w:rsid w:val="00125CDF"/>
    <w:rsid w:val="00126325"/>
    <w:rsid w:val="00126699"/>
    <w:rsid w:val="00142D16"/>
    <w:rsid w:val="00146329"/>
    <w:rsid w:val="001473C8"/>
    <w:rsid w:val="00165185"/>
    <w:rsid w:val="001675D2"/>
    <w:rsid w:val="00171F62"/>
    <w:rsid w:val="00172EEF"/>
    <w:rsid w:val="00184B61"/>
    <w:rsid w:val="00184DE5"/>
    <w:rsid w:val="00194CC4"/>
    <w:rsid w:val="001974BF"/>
    <w:rsid w:val="001A1AFB"/>
    <w:rsid w:val="001B0035"/>
    <w:rsid w:val="001B63CE"/>
    <w:rsid w:val="001C5462"/>
    <w:rsid w:val="001D5AA7"/>
    <w:rsid w:val="001D73A5"/>
    <w:rsid w:val="001E0965"/>
    <w:rsid w:val="001E11F5"/>
    <w:rsid w:val="001E4CAC"/>
    <w:rsid w:val="001F2B87"/>
    <w:rsid w:val="001F4B3C"/>
    <w:rsid w:val="002048A9"/>
    <w:rsid w:val="002144D7"/>
    <w:rsid w:val="0021577A"/>
    <w:rsid w:val="002200BE"/>
    <w:rsid w:val="00227D21"/>
    <w:rsid w:val="00232C23"/>
    <w:rsid w:val="0023485B"/>
    <w:rsid w:val="00235333"/>
    <w:rsid w:val="00240E6F"/>
    <w:rsid w:val="00245C40"/>
    <w:rsid w:val="00246A0B"/>
    <w:rsid w:val="00250274"/>
    <w:rsid w:val="00266438"/>
    <w:rsid w:val="00266740"/>
    <w:rsid w:val="00267650"/>
    <w:rsid w:val="00287832"/>
    <w:rsid w:val="00294A01"/>
    <w:rsid w:val="0029595E"/>
    <w:rsid w:val="0029778A"/>
    <w:rsid w:val="002A2E16"/>
    <w:rsid w:val="002A3A5D"/>
    <w:rsid w:val="002A7FA1"/>
    <w:rsid w:val="002C0564"/>
    <w:rsid w:val="002C4C41"/>
    <w:rsid w:val="002C59C6"/>
    <w:rsid w:val="002D2520"/>
    <w:rsid w:val="002D6985"/>
    <w:rsid w:val="003052CB"/>
    <w:rsid w:val="00311094"/>
    <w:rsid w:val="0031181E"/>
    <w:rsid w:val="00311AA4"/>
    <w:rsid w:val="00320AF3"/>
    <w:rsid w:val="0032198B"/>
    <w:rsid w:val="00327B51"/>
    <w:rsid w:val="00332FE3"/>
    <w:rsid w:val="0034143C"/>
    <w:rsid w:val="00357EF1"/>
    <w:rsid w:val="00380940"/>
    <w:rsid w:val="0038465E"/>
    <w:rsid w:val="003849DD"/>
    <w:rsid w:val="00386F6D"/>
    <w:rsid w:val="00391A98"/>
    <w:rsid w:val="00396F7A"/>
    <w:rsid w:val="003A27E4"/>
    <w:rsid w:val="003A4B29"/>
    <w:rsid w:val="003B2CB0"/>
    <w:rsid w:val="003B5FA1"/>
    <w:rsid w:val="003C3249"/>
    <w:rsid w:val="003C49E3"/>
    <w:rsid w:val="003E41F0"/>
    <w:rsid w:val="003E721F"/>
    <w:rsid w:val="003F04F5"/>
    <w:rsid w:val="003F752F"/>
    <w:rsid w:val="0040499A"/>
    <w:rsid w:val="00404F7F"/>
    <w:rsid w:val="00431706"/>
    <w:rsid w:val="004379AF"/>
    <w:rsid w:val="004425D5"/>
    <w:rsid w:val="00443C73"/>
    <w:rsid w:val="0044770C"/>
    <w:rsid w:val="0045041A"/>
    <w:rsid w:val="00450A5F"/>
    <w:rsid w:val="00453336"/>
    <w:rsid w:val="00453896"/>
    <w:rsid w:val="00460F95"/>
    <w:rsid w:val="00461BEE"/>
    <w:rsid w:val="004633F8"/>
    <w:rsid w:val="004665BC"/>
    <w:rsid w:val="00471E97"/>
    <w:rsid w:val="0047563C"/>
    <w:rsid w:val="00480471"/>
    <w:rsid w:val="00495106"/>
    <w:rsid w:val="004A1076"/>
    <w:rsid w:val="004A1D7A"/>
    <w:rsid w:val="004B4969"/>
    <w:rsid w:val="004C1F6A"/>
    <w:rsid w:val="004C36FF"/>
    <w:rsid w:val="004C5DEC"/>
    <w:rsid w:val="004E5BB3"/>
    <w:rsid w:val="004E6108"/>
    <w:rsid w:val="004F0CDA"/>
    <w:rsid w:val="004F6083"/>
    <w:rsid w:val="004F61FB"/>
    <w:rsid w:val="00502306"/>
    <w:rsid w:val="005038DE"/>
    <w:rsid w:val="00505A00"/>
    <w:rsid w:val="00506BB6"/>
    <w:rsid w:val="0051133A"/>
    <w:rsid w:val="00521888"/>
    <w:rsid w:val="00522E01"/>
    <w:rsid w:val="00544A83"/>
    <w:rsid w:val="00547AC3"/>
    <w:rsid w:val="005567A4"/>
    <w:rsid w:val="00556CBB"/>
    <w:rsid w:val="00557C32"/>
    <w:rsid w:val="005636CA"/>
    <w:rsid w:val="00564F7D"/>
    <w:rsid w:val="005651A5"/>
    <w:rsid w:val="00576D46"/>
    <w:rsid w:val="00586679"/>
    <w:rsid w:val="005873B8"/>
    <w:rsid w:val="00591D2E"/>
    <w:rsid w:val="00593111"/>
    <w:rsid w:val="005965D1"/>
    <w:rsid w:val="005A0AE4"/>
    <w:rsid w:val="005A2F59"/>
    <w:rsid w:val="005A45D2"/>
    <w:rsid w:val="005B5FAE"/>
    <w:rsid w:val="005B66C1"/>
    <w:rsid w:val="005B6C4D"/>
    <w:rsid w:val="005C1188"/>
    <w:rsid w:val="005C6DCF"/>
    <w:rsid w:val="005C75A0"/>
    <w:rsid w:val="005F5B9F"/>
    <w:rsid w:val="005F6261"/>
    <w:rsid w:val="005F6333"/>
    <w:rsid w:val="00606E7D"/>
    <w:rsid w:val="0061094C"/>
    <w:rsid w:val="006115E8"/>
    <w:rsid w:val="00626321"/>
    <w:rsid w:val="00630EE6"/>
    <w:rsid w:val="00635991"/>
    <w:rsid w:val="00636518"/>
    <w:rsid w:val="0065394F"/>
    <w:rsid w:val="00664FD1"/>
    <w:rsid w:val="00667571"/>
    <w:rsid w:val="006753C3"/>
    <w:rsid w:val="0068096D"/>
    <w:rsid w:val="00683932"/>
    <w:rsid w:val="00685E4C"/>
    <w:rsid w:val="00687366"/>
    <w:rsid w:val="00690985"/>
    <w:rsid w:val="0069611E"/>
    <w:rsid w:val="006A1628"/>
    <w:rsid w:val="006A49AD"/>
    <w:rsid w:val="006B12EA"/>
    <w:rsid w:val="006B7DD6"/>
    <w:rsid w:val="006C3B9F"/>
    <w:rsid w:val="006C45A3"/>
    <w:rsid w:val="006D24EB"/>
    <w:rsid w:val="006D58F5"/>
    <w:rsid w:val="006D5E1F"/>
    <w:rsid w:val="006E57A9"/>
    <w:rsid w:val="00711043"/>
    <w:rsid w:val="00712061"/>
    <w:rsid w:val="00721315"/>
    <w:rsid w:val="00721769"/>
    <w:rsid w:val="00734BBF"/>
    <w:rsid w:val="00734CFC"/>
    <w:rsid w:val="00735C65"/>
    <w:rsid w:val="007473F6"/>
    <w:rsid w:val="00751477"/>
    <w:rsid w:val="00755665"/>
    <w:rsid w:val="00755E22"/>
    <w:rsid w:val="007576E7"/>
    <w:rsid w:val="00760003"/>
    <w:rsid w:val="007654CA"/>
    <w:rsid w:val="007666F0"/>
    <w:rsid w:val="00770B56"/>
    <w:rsid w:val="00770CDE"/>
    <w:rsid w:val="0077263A"/>
    <w:rsid w:val="00772FFB"/>
    <w:rsid w:val="00790F57"/>
    <w:rsid w:val="0079789B"/>
    <w:rsid w:val="007A1E91"/>
    <w:rsid w:val="007A2E1F"/>
    <w:rsid w:val="007A4DF9"/>
    <w:rsid w:val="007B07A4"/>
    <w:rsid w:val="007B17FF"/>
    <w:rsid w:val="007C3CF7"/>
    <w:rsid w:val="007C4073"/>
    <w:rsid w:val="007D2AA2"/>
    <w:rsid w:val="007D3745"/>
    <w:rsid w:val="007D4070"/>
    <w:rsid w:val="007D55A1"/>
    <w:rsid w:val="007D719D"/>
    <w:rsid w:val="007E03CD"/>
    <w:rsid w:val="007E3806"/>
    <w:rsid w:val="007E705B"/>
    <w:rsid w:val="007F04EA"/>
    <w:rsid w:val="008052F2"/>
    <w:rsid w:val="008122C3"/>
    <w:rsid w:val="00813609"/>
    <w:rsid w:val="0082238B"/>
    <w:rsid w:val="00844B96"/>
    <w:rsid w:val="008649FE"/>
    <w:rsid w:val="00866A8F"/>
    <w:rsid w:val="00873D35"/>
    <w:rsid w:val="0088394E"/>
    <w:rsid w:val="008878DA"/>
    <w:rsid w:val="008A5516"/>
    <w:rsid w:val="008B005F"/>
    <w:rsid w:val="008B436B"/>
    <w:rsid w:val="008F21B2"/>
    <w:rsid w:val="008F6087"/>
    <w:rsid w:val="00900625"/>
    <w:rsid w:val="00902257"/>
    <w:rsid w:val="00902966"/>
    <w:rsid w:val="009033E4"/>
    <w:rsid w:val="00906A0C"/>
    <w:rsid w:val="009150E8"/>
    <w:rsid w:val="00925651"/>
    <w:rsid w:val="00925ED0"/>
    <w:rsid w:val="00930E17"/>
    <w:rsid w:val="00930FE9"/>
    <w:rsid w:val="00932036"/>
    <w:rsid w:val="00933603"/>
    <w:rsid w:val="00943126"/>
    <w:rsid w:val="009468AA"/>
    <w:rsid w:val="00950C29"/>
    <w:rsid w:val="00953CA4"/>
    <w:rsid w:val="00956830"/>
    <w:rsid w:val="00960BD9"/>
    <w:rsid w:val="00966983"/>
    <w:rsid w:val="00990701"/>
    <w:rsid w:val="009A2BAD"/>
    <w:rsid w:val="009C0EBA"/>
    <w:rsid w:val="009C1AC6"/>
    <w:rsid w:val="009C3828"/>
    <w:rsid w:val="009C47F3"/>
    <w:rsid w:val="009C5E1D"/>
    <w:rsid w:val="009D1376"/>
    <w:rsid w:val="009D5F98"/>
    <w:rsid w:val="009D6957"/>
    <w:rsid w:val="009E0505"/>
    <w:rsid w:val="009E1314"/>
    <w:rsid w:val="009E2DE9"/>
    <w:rsid w:val="009E68D3"/>
    <w:rsid w:val="009F56D0"/>
    <w:rsid w:val="009F57D8"/>
    <w:rsid w:val="00A029D1"/>
    <w:rsid w:val="00A044AA"/>
    <w:rsid w:val="00A104A2"/>
    <w:rsid w:val="00A139AB"/>
    <w:rsid w:val="00A14E36"/>
    <w:rsid w:val="00A176CE"/>
    <w:rsid w:val="00A21C8E"/>
    <w:rsid w:val="00A21D15"/>
    <w:rsid w:val="00A2233C"/>
    <w:rsid w:val="00A23C26"/>
    <w:rsid w:val="00A30575"/>
    <w:rsid w:val="00A56C1C"/>
    <w:rsid w:val="00A56D2A"/>
    <w:rsid w:val="00A60B88"/>
    <w:rsid w:val="00A65E40"/>
    <w:rsid w:val="00A707CB"/>
    <w:rsid w:val="00A71BB3"/>
    <w:rsid w:val="00A72DDE"/>
    <w:rsid w:val="00A74265"/>
    <w:rsid w:val="00A7744D"/>
    <w:rsid w:val="00A8551C"/>
    <w:rsid w:val="00AA0BF7"/>
    <w:rsid w:val="00AA63F7"/>
    <w:rsid w:val="00AB1897"/>
    <w:rsid w:val="00AB1F2F"/>
    <w:rsid w:val="00AB4C7A"/>
    <w:rsid w:val="00AB57FF"/>
    <w:rsid w:val="00AC3B06"/>
    <w:rsid w:val="00AD0216"/>
    <w:rsid w:val="00AE6CD9"/>
    <w:rsid w:val="00AF3028"/>
    <w:rsid w:val="00AF77D7"/>
    <w:rsid w:val="00AF7EA2"/>
    <w:rsid w:val="00AF7EF8"/>
    <w:rsid w:val="00B00625"/>
    <w:rsid w:val="00B00B4D"/>
    <w:rsid w:val="00B033B7"/>
    <w:rsid w:val="00B060B2"/>
    <w:rsid w:val="00B11FF8"/>
    <w:rsid w:val="00B1365E"/>
    <w:rsid w:val="00B13FDC"/>
    <w:rsid w:val="00B23ECD"/>
    <w:rsid w:val="00B25D73"/>
    <w:rsid w:val="00B300C9"/>
    <w:rsid w:val="00B30714"/>
    <w:rsid w:val="00B325D7"/>
    <w:rsid w:val="00B3527B"/>
    <w:rsid w:val="00B36606"/>
    <w:rsid w:val="00B44C63"/>
    <w:rsid w:val="00B64CDC"/>
    <w:rsid w:val="00B73B9F"/>
    <w:rsid w:val="00B74F3F"/>
    <w:rsid w:val="00B75F82"/>
    <w:rsid w:val="00B81F09"/>
    <w:rsid w:val="00B8526F"/>
    <w:rsid w:val="00B93168"/>
    <w:rsid w:val="00BB05FE"/>
    <w:rsid w:val="00BB1718"/>
    <w:rsid w:val="00BB1E3E"/>
    <w:rsid w:val="00BB622B"/>
    <w:rsid w:val="00BC6A03"/>
    <w:rsid w:val="00BD46C3"/>
    <w:rsid w:val="00BF0598"/>
    <w:rsid w:val="00BF18A9"/>
    <w:rsid w:val="00BF4430"/>
    <w:rsid w:val="00BF4C6F"/>
    <w:rsid w:val="00BF4F1B"/>
    <w:rsid w:val="00BF4FAE"/>
    <w:rsid w:val="00BF635D"/>
    <w:rsid w:val="00BF7BFE"/>
    <w:rsid w:val="00C00998"/>
    <w:rsid w:val="00C0259F"/>
    <w:rsid w:val="00C06A7C"/>
    <w:rsid w:val="00C14016"/>
    <w:rsid w:val="00C2435B"/>
    <w:rsid w:val="00C24813"/>
    <w:rsid w:val="00C31493"/>
    <w:rsid w:val="00C33CAE"/>
    <w:rsid w:val="00C36A4E"/>
    <w:rsid w:val="00C43782"/>
    <w:rsid w:val="00C64128"/>
    <w:rsid w:val="00C66D17"/>
    <w:rsid w:val="00C70659"/>
    <w:rsid w:val="00C71837"/>
    <w:rsid w:val="00C75BB3"/>
    <w:rsid w:val="00C76AE2"/>
    <w:rsid w:val="00C8012D"/>
    <w:rsid w:val="00C92434"/>
    <w:rsid w:val="00C94193"/>
    <w:rsid w:val="00CA0D20"/>
    <w:rsid w:val="00CA3F53"/>
    <w:rsid w:val="00CB5B22"/>
    <w:rsid w:val="00CD3319"/>
    <w:rsid w:val="00CD3DD6"/>
    <w:rsid w:val="00CE1762"/>
    <w:rsid w:val="00CE406F"/>
    <w:rsid w:val="00CF2A96"/>
    <w:rsid w:val="00D0211D"/>
    <w:rsid w:val="00D044AF"/>
    <w:rsid w:val="00D04BB1"/>
    <w:rsid w:val="00D063E5"/>
    <w:rsid w:val="00D11342"/>
    <w:rsid w:val="00D16320"/>
    <w:rsid w:val="00D259F9"/>
    <w:rsid w:val="00D27DF1"/>
    <w:rsid w:val="00D42B75"/>
    <w:rsid w:val="00D4573E"/>
    <w:rsid w:val="00D56653"/>
    <w:rsid w:val="00D67C6D"/>
    <w:rsid w:val="00D73893"/>
    <w:rsid w:val="00D76DDF"/>
    <w:rsid w:val="00D848ED"/>
    <w:rsid w:val="00D87CFC"/>
    <w:rsid w:val="00DA1FE0"/>
    <w:rsid w:val="00DA637F"/>
    <w:rsid w:val="00DA6FDB"/>
    <w:rsid w:val="00DB1916"/>
    <w:rsid w:val="00DC34E6"/>
    <w:rsid w:val="00DC53A2"/>
    <w:rsid w:val="00DC707B"/>
    <w:rsid w:val="00DD3F94"/>
    <w:rsid w:val="00DD4F2F"/>
    <w:rsid w:val="00DD570C"/>
    <w:rsid w:val="00DE2471"/>
    <w:rsid w:val="00DE3625"/>
    <w:rsid w:val="00E00939"/>
    <w:rsid w:val="00E00A95"/>
    <w:rsid w:val="00E075CA"/>
    <w:rsid w:val="00E27468"/>
    <w:rsid w:val="00E31FF5"/>
    <w:rsid w:val="00E37D6C"/>
    <w:rsid w:val="00E411D6"/>
    <w:rsid w:val="00E503F5"/>
    <w:rsid w:val="00E50647"/>
    <w:rsid w:val="00E5311D"/>
    <w:rsid w:val="00E72603"/>
    <w:rsid w:val="00E751B7"/>
    <w:rsid w:val="00E759D8"/>
    <w:rsid w:val="00E77DD1"/>
    <w:rsid w:val="00E8538E"/>
    <w:rsid w:val="00E875B3"/>
    <w:rsid w:val="00E923E7"/>
    <w:rsid w:val="00E93A34"/>
    <w:rsid w:val="00E95F6F"/>
    <w:rsid w:val="00EA061B"/>
    <w:rsid w:val="00EA0CD2"/>
    <w:rsid w:val="00EA241D"/>
    <w:rsid w:val="00EA7BEA"/>
    <w:rsid w:val="00EC4760"/>
    <w:rsid w:val="00ED0D69"/>
    <w:rsid w:val="00ED166B"/>
    <w:rsid w:val="00ED1F23"/>
    <w:rsid w:val="00ED2A51"/>
    <w:rsid w:val="00ED30D7"/>
    <w:rsid w:val="00ED6965"/>
    <w:rsid w:val="00EE7E68"/>
    <w:rsid w:val="00F00063"/>
    <w:rsid w:val="00F03247"/>
    <w:rsid w:val="00F040F3"/>
    <w:rsid w:val="00F077EF"/>
    <w:rsid w:val="00F10B93"/>
    <w:rsid w:val="00F23D4F"/>
    <w:rsid w:val="00F354DD"/>
    <w:rsid w:val="00F45F02"/>
    <w:rsid w:val="00F46CBE"/>
    <w:rsid w:val="00F52450"/>
    <w:rsid w:val="00F57D50"/>
    <w:rsid w:val="00F63969"/>
    <w:rsid w:val="00F71817"/>
    <w:rsid w:val="00F75FB6"/>
    <w:rsid w:val="00F80101"/>
    <w:rsid w:val="00F85124"/>
    <w:rsid w:val="00F851B6"/>
    <w:rsid w:val="00F87EF1"/>
    <w:rsid w:val="00F93AD3"/>
    <w:rsid w:val="00F95B86"/>
    <w:rsid w:val="00F96ACC"/>
    <w:rsid w:val="00FA405D"/>
    <w:rsid w:val="00FA420B"/>
    <w:rsid w:val="00FB10FE"/>
    <w:rsid w:val="00FB20DE"/>
    <w:rsid w:val="00FB545C"/>
    <w:rsid w:val="00FC3957"/>
    <w:rsid w:val="00FD352C"/>
    <w:rsid w:val="00FD4EA8"/>
    <w:rsid w:val="00FD5E2B"/>
    <w:rsid w:val="00FE35A8"/>
    <w:rsid w:val="00FF2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6B831E-48A5-4F2F-9C4C-7D6FA650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04A2"/>
    <w:pPr>
      <w:spacing w:after="200" w:line="276" w:lineRule="auto"/>
      <w:jc w:val="both"/>
    </w:pPr>
  </w:style>
  <w:style w:type="paragraph" w:styleId="Nadpis1">
    <w:name w:val="heading 1"/>
    <w:basedOn w:val="Normln"/>
    <w:next w:val="Normln"/>
    <w:link w:val="Nadpis1Char"/>
    <w:uiPriority w:val="9"/>
    <w:qFormat/>
    <w:rsid w:val="00235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A637F"/>
    <w:pPr>
      <w:keepNext/>
      <w:keepLines/>
      <w:numPr>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B4C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5333"/>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235333"/>
    <w:pPr>
      <w:spacing w:line="259" w:lineRule="auto"/>
      <w:jc w:val="left"/>
      <w:outlineLvl w:val="9"/>
    </w:pPr>
    <w:rPr>
      <w:lang w:eastAsia="cs-CZ"/>
    </w:rPr>
  </w:style>
  <w:style w:type="paragraph" w:styleId="Zhlav">
    <w:name w:val="header"/>
    <w:basedOn w:val="Normln"/>
    <w:link w:val="ZhlavChar"/>
    <w:uiPriority w:val="99"/>
    <w:unhideWhenUsed/>
    <w:rsid w:val="00F57D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7D50"/>
  </w:style>
  <w:style w:type="paragraph" w:styleId="Zpat">
    <w:name w:val="footer"/>
    <w:basedOn w:val="Normln"/>
    <w:link w:val="ZpatChar"/>
    <w:uiPriority w:val="99"/>
    <w:unhideWhenUsed/>
    <w:rsid w:val="00F57D50"/>
    <w:pPr>
      <w:tabs>
        <w:tab w:val="center" w:pos="4536"/>
        <w:tab w:val="right" w:pos="9072"/>
      </w:tabs>
      <w:spacing w:after="0" w:line="240" w:lineRule="auto"/>
    </w:pPr>
  </w:style>
  <w:style w:type="character" w:customStyle="1" w:styleId="ZpatChar">
    <w:name w:val="Zápatí Char"/>
    <w:basedOn w:val="Standardnpsmoodstavce"/>
    <w:link w:val="Zpat"/>
    <w:uiPriority w:val="99"/>
    <w:rsid w:val="00F57D50"/>
  </w:style>
  <w:style w:type="paragraph" w:styleId="Obsah1">
    <w:name w:val="toc 1"/>
    <w:basedOn w:val="Normln"/>
    <w:next w:val="Normln"/>
    <w:autoRedefine/>
    <w:uiPriority w:val="39"/>
    <w:unhideWhenUsed/>
    <w:rsid w:val="00232C23"/>
    <w:pPr>
      <w:spacing w:after="100"/>
    </w:pPr>
  </w:style>
  <w:style w:type="character" w:styleId="Hypertextovodkaz">
    <w:name w:val="Hyperlink"/>
    <w:basedOn w:val="Standardnpsmoodstavce"/>
    <w:uiPriority w:val="99"/>
    <w:unhideWhenUsed/>
    <w:rsid w:val="00232C23"/>
    <w:rPr>
      <w:color w:val="0563C1" w:themeColor="hyperlink"/>
      <w:u w:val="single"/>
    </w:rPr>
  </w:style>
  <w:style w:type="character" w:customStyle="1" w:styleId="Nadpis2Char">
    <w:name w:val="Nadpis 2 Char"/>
    <w:basedOn w:val="Standardnpsmoodstavce"/>
    <w:link w:val="Nadpis2"/>
    <w:uiPriority w:val="9"/>
    <w:rsid w:val="00DA637F"/>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DA637F"/>
    <w:pPr>
      <w:spacing w:after="100"/>
      <w:ind w:left="220"/>
    </w:pPr>
  </w:style>
  <w:style w:type="paragraph" w:styleId="Odstavecseseznamem">
    <w:name w:val="List Paragraph"/>
    <w:basedOn w:val="Normln"/>
    <w:uiPriority w:val="34"/>
    <w:qFormat/>
    <w:rsid w:val="0082238B"/>
    <w:pPr>
      <w:ind w:left="720"/>
      <w:contextualSpacing/>
    </w:pPr>
  </w:style>
  <w:style w:type="table" w:styleId="Mkatabulky">
    <w:name w:val="Table Grid"/>
    <w:basedOn w:val="Normlntabulka"/>
    <w:uiPriority w:val="39"/>
    <w:rsid w:val="0018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AB4C7A"/>
    <w:rPr>
      <w:rFonts w:asciiTheme="majorHAnsi" w:eastAsiaTheme="majorEastAsia" w:hAnsiTheme="majorHAnsi" w:cstheme="majorBidi"/>
      <w:color w:val="1F4D78" w:themeColor="accent1" w:themeShade="7F"/>
      <w:sz w:val="24"/>
      <w:szCs w:val="24"/>
    </w:rPr>
  </w:style>
  <w:style w:type="paragraph" w:styleId="Textpoznpodarou">
    <w:name w:val="footnote text"/>
    <w:basedOn w:val="Normln"/>
    <w:link w:val="TextpoznpodarouChar"/>
    <w:uiPriority w:val="99"/>
    <w:semiHidden/>
    <w:unhideWhenUsed/>
    <w:rsid w:val="0031109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1094"/>
    <w:rPr>
      <w:sz w:val="20"/>
      <w:szCs w:val="20"/>
    </w:rPr>
  </w:style>
  <w:style w:type="character" w:styleId="Znakapoznpodarou">
    <w:name w:val="footnote reference"/>
    <w:basedOn w:val="Standardnpsmoodstavce"/>
    <w:uiPriority w:val="99"/>
    <w:semiHidden/>
    <w:unhideWhenUsed/>
    <w:rsid w:val="00311094"/>
    <w:rPr>
      <w:vertAlign w:val="superscript"/>
    </w:rPr>
  </w:style>
  <w:style w:type="paragraph" w:styleId="Obsah3">
    <w:name w:val="toc 3"/>
    <w:basedOn w:val="Normln"/>
    <w:next w:val="Normln"/>
    <w:autoRedefine/>
    <w:uiPriority w:val="39"/>
    <w:unhideWhenUsed/>
    <w:rsid w:val="00DE2471"/>
    <w:pPr>
      <w:spacing w:after="100"/>
      <w:ind w:left="440"/>
    </w:pPr>
  </w:style>
  <w:style w:type="paragraph" w:styleId="Textbubliny">
    <w:name w:val="Balloon Text"/>
    <w:basedOn w:val="Normln"/>
    <w:link w:val="TextbublinyChar"/>
    <w:uiPriority w:val="99"/>
    <w:semiHidden/>
    <w:unhideWhenUsed/>
    <w:rsid w:val="00B13F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yperlink" Target="http://www.msmt.cz/vzdelavani/skolstvi-v-cr/strategie-digitalniho-vzdelavani-do-roku-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smt.cz/vzdelavani/skolstvi-v-cr/strategie-digitalniho-vzdelavani-do-roku-2020" TargetMode="External"/><Relationship Id="rId2" Type="http://schemas.openxmlformats.org/officeDocument/2006/relationships/numbering" Target="numbering.xml"/><Relationship Id="rId16" Type="http://schemas.openxmlformats.org/officeDocument/2006/relationships/hyperlink" Target="http://www.msmt.cz/vzdelavani/skolstvi-v-cr/statistika-skolstvi/otevrena-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skolstvi-v-cr/strategie-digitalniho-vzdelavani-do-roku-2020" TargetMode="External"/><Relationship Id="rId5" Type="http://schemas.openxmlformats.org/officeDocument/2006/relationships/webSettings" Target="webSettings.xml"/><Relationship Id="rId15" Type="http://schemas.openxmlformats.org/officeDocument/2006/relationships/hyperlink" Target="http://clanky.rvp.cz/clanek/c/Z/21085/MASIVNI-OTEVRENE-ONLINE-KURZY---VYMEZENI-A-DOPORUCENI.html" TargetMode="External"/><Relationship Id="rId10" Type="http://schemas.openxmlformats.org/officeDocument/2006/relationships/hyperlink" Target="http://www.vzdelavani2020.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v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6BB7-C21D-4B10-8C21-D3821604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10100</Words>
  <Characters>59591</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69552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Růžičková Daniela</dc:creator>
  <cp:lastModifiedBy>Fidrmuc Jaroslav</cp:lastModifiedBy>
  <cp:revision>6</cp:revision>
  <cp:lastPrinted>2016-12-14T08:26:00Z</cp:lastPrinted>
  <dcterms:created xsi:type="dcterms:W3CDTF">2017-06-28T08:22:00Z</dcterms:created>
  <dcterms:modified xsi:type="dcterms:W3CDTF">2017-07-04T10:37:00Z</dcterms:modified>
</cp:coreProperties>
</file>