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C3" w:rsidRPr="000F3183" w:rsidRDefault="000F3183" w:rsidP="00C75598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b w:val="0"/>
          <w:sz w:val="32"/>
          <w:szCs w:val="32"/>
        </w:rPr>
      </w:pPr>
      <w:r w:rsidRPr="000F3183">
        <w:rPr>
          <w:rFonts w:asciiTheme="minorHAnsi" w:hAnsiTheme="minorHAnsi"/>
          <w:b w:val="0"/>
          <w:sz w:val="32"/>
          <w:szCs w:val="32"/>
        </w:rPr>
        <w:t>Základní informace k materiálu</w:t>
      </w:r>
    </w:p>
    <w:p w:rsidR="00827D53" w:rsidRDefault="00827D53" w:rsidP="000F3183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/>
          <w:sz w:val="32"/>
          <w:szCs w:val="32"/>
        </w:rPr>
      </w:pPr>
      <w:r w:rsidRPr="00752C4B">
        <w:rPr>
          <w:rFonts w:asciiTheme="minorHAnsi" w:hAnsiTheme="minorHAnsi"/>
          <w:sz w:val="32"/>
          <w:szCs w:val="32"/>
        </w:rPr>
        <w:t xml:space="preserve">Porovnání krajských normativů mzdových prostředků a ostatních neinvestičních výdajů stanovených jednotlivými krajskými úřady </w:t>
      </w:r>
      <w:r w:rsidR="000F3183">
        <w:rPr>
          <w:rFonts w:asciiTheme="minorHAnsi" w:hAnsiTheme="minorHAnsi"/>
          <w:sz w:val="32"/>
          <w:szCs w:val="32"/>
        </w:rPr>
        <w:br/>
      </w:r>
      <w:r w:rsidRPr="00752C4B">
        <w:rPr>
          <w:rFonts w:asciiTheme="minorHAnsi" w:hAnsiTheme="minorHAnsi"/>
          <w:sz w:val="32"/>
          <w:szCs w:val="32"/>
        </w:rPr>
        <w:t>pro krajské a obecní školství v roce 201</w:t>
      </w:r>
      <w:r w:rsidR="00691C80">
        <w:rPr>
          <w:rFonts w:asciiTheme="minorHAnsi" w:hAnsiTheme="minorHAnsi"/>
          <w:sz w:val="32"/>
          <w:szCs w:val="32"/>
        </w:rPr>
        <w:t>6</w:t>
      </w:r>
    </w:p>
    <w:p w:rsidR="00757FB1" w:rsidRPr="000F3183" w:rsidRDefault="00757FB1" w:rsidP="000F3183">
      <w:pPr>
        <w:spacing w:before="480" w:after="360"/>
        <w:jc w:val="center"/>
        <w:rPr>
          <w:sz w:val="24"/>
          <w:lang w:eastAsia="cs-CZ"/>
        </w:rPr>
      </w:pPr>
      <w:r w:rsidRPr="000F3183">
        <w:rPr>
          <w:sz w:val="24"/>
          <w:lang w:eastAsia="cs-CZ"/>
        </w:rPr>
        <w:t>Materiál MŠMT</w:t>
      </w:r>
      <w:r w:rsidR="00E24199" w:rsidRPr="000F3183">
        <w:rPr>
          <w:sz w:val="24"/>
          <w:lang w:eastAsia="cs-CZ"/>
        </w:rPr>
        <w:t xml:space="preserve"> </w:t>
      </w:r>
      <w:proofErr w:type="gramStart"/>
      <w:r w:rsidR="00E24199" w:rsidRPr="000F3183">
        <w:rPr>
          <w:sz w:val="24"/>
          <w:lang w:eastAsia="cs-CZ"/>
        </w:rPr>
        <w:t>č.j.</w:t>
      </w:r>
      <w:proofErr w:type="gramEnd"/>
      <w:r w:rsidR="00E24199" w:rsidRPr="000F3183">
        <w:rPr>
          <w:sz w:val="24"/>
          <w:lang w:eastAsia="cs-CZ"/>
        </w:rPr>
        <w:t xml:space="preserve"> </w:t>
      </w:r>
      <w:r w:rsidR="000F3183">
        <w:rPr>
          <w:sz w:val="24"/>
          <w:lang w:eastAsia="cs-CZ"/>
        </w:rPr>
        <w:t>MSMT-</w:t>
      </w:r>
      <w:r w:rsidR="00691C80" w:rsidRPr="00691C80">
        <w:rPr>
          <w:sz w:val="24"/>
          <w:lang w:eastAsia="cs-CZ"/>
        </w:rPr>
        <w:t>20795/2016</w:t>
      </w:r>
    </w:p>
    <w:p w:rsidR="00AA79C3" w:rsidRPr="00752C4B" w:rsidRDefault="00AA79C3" w:rsidP="00AA79C3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Ministerstvo školství, mládeže a tělovýchovy (dále jen „MŠMT“) provedlo vzájemné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porovnání krajských normativů mzdových prostředků (MP) a ostatních neinvestičních výdajů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(ONIV)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 připadajících na jednotku výkonu za rok, stanovených jednotlivými krajskými úřady v roce 201</w:t>
      </w:r>
      <w:r w:rsidR="00691C80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základě vyhlášky č. 492/2005 Sb., o krajských normativech, ve znění pozdějších předpisů, pro jednotky výkonu realizované v jednotlivých vybraných druzích škol a druzích a typech školských zařízení, zřizovaných kraji, obcemi nebo svazky obcí na území kraje.</w:t>
      </w:r>
    </w:p>
    <w:p w:rsidR="00AA79C3" w:rsidRPr="00752C4B" w:rsidRDefault="00AA79C3" w:rsidP="00AA79C3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Zdrojem dat byly údaje normativního rozpisu rozpočtu na rok 201</w:t>
      </w:r>
      <w:r w:rsidR="00691C80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které jsou krajské úřady na základě § 7 odst. 1 vyhlášky o krajských normativech povinny zveřejnit nejpozději 30 dnů od obdržení rozpisu rozpočtu z MŠMT. Číselné údaje v tomto materiálu jsou platné </w:t>
      </w:r>
      <w:r w:rsidRPr="00691C80">
        <w:rPr>
          <w:rFonts w:asciiTheme="minorHAnsi" w:eastAsia="Times New Roman" w:hAnsiTheme="minorHAnsi"/>
          <w:sz w:val="24"/>
          <w:szCs w:val="24"/>
          <w:lang w:eastAsia="cs-CZ"/>
        </w:rPr>
        <w:t>k 10. </w:t>
      </w:r>
      <w:r w:rsidR="00691C80" w:rsidRPr="00691C80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Pr="00691C80">
        <w:rPr>
          <w:rFonts w:asciiTheme="minorHAnsi" w:eastAsia="Times New Roman" w:hAnsiTheme="minorHAnsi"/>
          <w:sz w:val="24"/>
          <w:szCs w:val="24"/>
          <w:lang w:eastAsia="cs-CZ"/>
        </w:rPr>
        <w:t>řeznu</w:t>
      </w:r>
      <w:r w:rsidR="00691C80" w:rsidRPr="00691C80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691C80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691C80" w:rsidRPr="00691C80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nezahrnují změny, ke kterým došlo případnými úpravami rozpisu rozpočtu v jednotlivých krajích v průběhu roku.</w:t>
      </w:r>
    </w:p>
    <w:p w:rsidR="00AA79C3" w:rsidRDefault="00AA79C3" w:rsidP="00AA79C3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Porovnání krajských normativů MP a ONIV pokračuje ve vydávání obdobných materiálů v roce 201</w:t>
      </w:r>
      <w:r w:rsidR="00691C80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letech předchozích, kromě roku 2012.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Podává kompletní a ucelený přehled o výši finančních normativů, stanovených jednotlivými krajskými úřady pro dané jednotky výkonu pro rok 201</w:t>
      </w:r>
      <w:r w:rsidR="00691C80">
        <w:rPr>
          <w:rFonts w:asciiTheme="minorHAnsi" w:eastAsia="Times New Roman" w:hAnsiTheme="minorHAnsi"/>
          <w:b/>
          <w:sz w:val="24"/>
          <w:szCs w:val="24"/>
          <w:lang w:eastAsia="cs-CZ"/>
        </w:rPr>
        <w:t>6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.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Jednotlivé přílohy materiálu obsahují tabulky a grafy s výší krajských normativů mzdových prostředků bez odvodů a ostatních neinvestičních výdajů a hodnotami závazných ukazatelů pro stanovení krajských normativů.</w:t>
      </w:r>
    </w:p>
    <w:p w:rsidR="00691C80" w:rsidRDefault="00691C80" w:rsidP="00691C80">
      <w:pPr>
        <w:pStyle w:val="Odstavecseseznamem"/>
        <w:numPr>
          <w:ilvl w:val="0"/>
          <w:numId w:val="36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normativ mzdových prostředků A ostatních neinvestičních výdajů</w:t>
      </w:r>
    </w:p>
    <w:p w:rsidR="00691C80" w:rsidRDefault="00691C80" w:rsidP="00691C80">
      <w:pPr>
        <w:spacing w:before="120"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Porovnání je zaměřeno na normativy mzdových prostředků (MP) a ostatních neinvestičních výdajů (ONIV). Mzdové výdaje tvoří stěžejní část z finančních prostředků poskytovaných ze státního rozpočtu jednotlivým školám a školským zařízením, zřizovaným kraji a obcemi nebo svazky obcí. Z prostředků ONIV jsou ze státního rozpočtu poskytovány finanční prostředky na výdaje vymezené v § 160 odst. 1 písm. c) a d) a odst. 2 zákona č. 561/2004 Sb., o předškolním, základním, středním, vyšším odborném a jiném vzdělávání (školský zákon), ve znění pozdějších předpisů, a to např. na výdaje na učební pomůcky, školní potřeby a učebnice, pokud jsou podle školského zákona poskytovány bezplatně, výdaje na další vzdělávání pedagogických pracovníků či tzv. ostatní náklady vyplývající z pracovněprávních vztahů.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MP se stanoví vztahem: </w:t>
      </w:r>
    </w:p>
    <w:p w:rsidR="00691C80" w:rsidRDefault="00691C80" w:rsidP="00691C80">
      <w:pPr>
        <w:pStyle w:val="Odstavecseseznamem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 škol a školských zařízení, jejichž činnost je realizována pedagogickými i nepedagogickými pracovníky: </w:t>
      </w:r>
    </w:p>
    <w:p w:rsidR="00691C80" w:rsidRDefault="00691C80" w:rsidP="00691C80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12 * (1/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*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>)</w:t>
      </w:r>
    </w:p>
    <w:p w:rsidR="00691C80" w:rsidRDefault="00691C80" w:rsidP="00691C80">
      <w:pPr>
        <w:pStyle w:val="Odstavecseseznamem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u škol a školských zařízení, jejichž činnost je realizována pouze pedagogickými pracovníky:</w:t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691C80" w:rsidRDefault="00691C80" w:rsidP="00691C80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12 * 1/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691C80" w:rsidRDefault="00691C80" w:rsidP="00691C80">
      <w:pPr>
        <w:pStyle w:val="Odstavecseseznamem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 škol a školských zařízení, jejichž činnost je realizována pouze nepedagogickými pracovníky:</w:t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691C80" w:rsidRDefault="00691C80" w:rsidP="00691C80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12 * 1/N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*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691C80" w:rsidRDefault="00691C80" w:rsidP="00691C80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přičemž ukazatele rozhodné pro stanovení krajských normativů jsou:</w:t>
      </w:r>
    </w:p>
    <w:p w:rsidR="00691C80" w:rsidRDefault="00691C80" w:rsidP="00691C80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průměrný počet jednotek výkonu připadající na 1 pedagogického pracovníka,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 …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pedagogického pracovníka,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průměrný počet jednotek výkonu připadající na 1 nepedagogického pracovníka,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průměrná měsíční výše platu nepedagogického pracovníka.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:rsidR="00691C80" w:rsidRDefault="00691C80" w:rsidP="00691C80">
      <w:pPr>
        <w:numPr>
          <w:ilvl w:val="0"/>
          <w:numId w:val="38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resp.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:rsidR="00691C80" w:rsidRDefault="00691C80" w:rsidP="00691C80">
      <w:pPr>
        <w:numPr>
          <w:ilvl w:val="0"/>
          <w:numId w:val="38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nepřímo úměrně ukazatele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Srovnatelné ekonomické podmínky vzdělávání, tzn. srovnatelný normativ MP, tedy mohou mít vytvořeny srovnatelné školy ve více krajích i přesto, že při stanovení příslušných krajských normativů na rok 2016 vycházely dotčené krajské úřady z rozdílných předpokladů,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tj. z rozdílných hodnot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MP a ONIV v roce 2016 na jednotku výkonu byl porovnáván u vybraných druhů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typů škol a školských zařízení. U středních škol a vyšších odborných škol byly vybrány pro srovnání často rozšířené obory vzdělání.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Aby předkládaný materiál získal úplnou vypovídací schopnost, jsou v jeho přílohové části u všech porovnávaných jednotek výkonu uvedeny vedle hodnot krajských normativů MP a ONIV i hodnoty ukazatelů </w:t>
      </w:r>
      <w:proofErr w:type="spellStart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Materiál obsahuje porovnání u:</w:t>
      </w:r>
    </w:p>
    <w:p w:rsidR="00691C80" w:rsidRDefault="00691C80" w:rsidP="00691C80">
      <w:pPr>
        <w:numPr>
          <w:ilvl w:val="0"/>
          <w:numId w:val="3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mateřských škol s celodenním provozem (příloha č. 1),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pouze ročníky prvního stupně (příloha č. 2),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oběma stupni (příloha č. 3),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školních družin (příloha č. 4),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školního stravování ve školních jídelnách (přílohy č. 5a, 5b, 5c, 5d),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domovů mládeže (přílohy č. 6a, 6b),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oborů základních uměleckých škol (příloha č. 7),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kategorie K (příloha č. 8a),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20 vybraných oborů středního vzdělávání kategorie M (příloha č. 8b),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kategorie L5 (příloha č. 8c),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kategorie L0 (příloha č. 8d),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15 vybraných oborů středního vzdělávání kategorie H (příloha č. 8e),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5 vybraných oborů středního vzdělávání s výučním listem kategorie E (příloha č. 8f), 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vybraných vzdělávacích programů vyšších odborných škol (příloha č. 9),</w:t>
      </w:r>
    </w:p>
    <w:p w:rsidR="00691C80" w:rsidRDefault="00691C80" w:rsidP="00691C80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5 oborů vzdělání v konzervatořích (příloha č. 10).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Předmětem porovnání nebyly krajské normativy MP a ONIV mimo jiné pro školní kluby, dětské domovy a střediska volného času, neboť krajské úřady nepoužívají srovnatelnou metodiku pro stanovení jednotek výkonu. Některé krajské úřady vycházejí z výkonů skutečně realizované pravidelné činnosti, jiné z počtu všech žáků a studentů v kraji (tzv. potenciálních klientů).</w:t>
      </w:r>
    </w:p>
    <w:p w:rsidR="00691C80" w:rsidRDefault="00691C80" w:rsidP="00691C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 vybraných druhů a typů škol a oborů vzdělání (konkrétně u oborů ZUŠ, oborů vzdělání středních škol a konzervatoří a vzdělávacích programů vyšších odborných škol) je uvedeno i meziroční porovnání hodnot krajských normativů MP a ONIV s rokem 2015. Pro mateřské školy, základní školy tvořené pouze ročníky 1. stupně a základní školy tvořených oběma stupni je porovnání let 2014 až 2016 v samostatných přílohách č. 11 až 13.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 příloze č. 14 je pak meziroční porovnání ukazatelů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pro všechny porovnávané druhy a typy škol a školských zařízení.</w:t>
      </w:r>
    </w:p>
    <w:p w:rsidR="00691C80" w:rsidRDefault="00691C80" w:rsidP="00691C80">
      <w:pPr>
        <w:pStyle w:val="Odstavecseseznamem"/>
        <w:numPr>
          <w:ilvl w:val="0"/>
          <w:numId w:val="36"/>
        </w:numPr>
        <w:spacing w:before="600" w:after="240" w:line="240" w:lineRule="auto"/>
        <w:ind w:left="357" w:hanging="357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PŘEHLED JEDNOTEK VÝKONU PRO JEDNOTLIVÉ KRAJSKÉ NORMATIVY</w:t>
      </w:r>
    </w:p>
    <w:p w:rsidR="00691C80" w:rsidRDefault="00691C80" w:rsidP="00691C80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Mateřské školy s celodenním provozem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dítě v mateřské škole nebo třídě s celodenním provozem.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pouze ročníky prvního stupně -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jednotkou výkonu je 1 žák v základní škole tvořené pouze ročníky prvního stupně.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oběma stupni </w:t>
      </w:r>
    </w:p>
    <w:p w:rsidR="00691C80" w:rsidRDefault="00691C80" w:rsidP="00691C80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pedagogičtí pracovníci 1. stupeň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- jednotkou výkonu je 1 žák v prvním stupni základní školy tvořené oběma stupni,</w:t>
      </w:r>
    </w:p>
    <w:p w:rsidR="00691C80" w:rsidRDefault="00691C80" w:rsidP="00691C80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pedagogičtí pracovníci 2. stupeň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ve druhém stupni základní školy tvořené oběma stupni,</w:t>
      </w:r>
    </w:p>
    <w:p w:rsidR="00691C80" w:rsidRDefault="00691C80" w:rsidP="00691C80">
      <w:pPr>
        <w:pStyle w:val="Odstavecseseznamem"/>
        <w:numPr>
          <w:ilvl w:val="1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nepedagogičtí pracovníci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- jednotkou výkonu je 1 žák základní školy tvořené oběma stupni.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družiny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jednotkou výkonu je 1 žák ve školní družině, který je přijat k pravidelné denní docházce.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Školní kluby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- jednotkou výkonu je 1 žák, kterému školní klub zajišťuje naplnění volného času zájmovou činností se zaměřením na různé oblasti, který se zároveň vzdělává v ZŠ, v ZŠ speciální, v nižším stupni šestiletého nebo osmiletého gymnázia nebo v odpovídajících ročnících v osmiletém vzdělávacím programu konzervatoře.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je:</w:t>
      </w:r>
    </w:p>
    <w:p w:rsidR="00691C80" w:rsidRDefault="00691C80" w:rsidP="00691C80">
      <w:pPr>
        <w:pStyle w:val="Odstavecseseznamem"/>
        <w:numPr>
          <w:ilvl w:val="1"/>
          <w:numId w:val="41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:rsidR="00691C80" w:rsidRDefault="00691C80" w:rsidP="00691C80">
      <w:pPr>
        <w:pStyle w:val="Odstavecseseznamem"/>
        <w:numPr>
          <w:ilvl w:val="1"/>
          <w:numId w:val="41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:rsidR="00691C80" w:rsidRDefault="00691C80" w:rsidP="00691C80">
      <w:pPr>
        <w:pStyle w:val="Odstavecseseznamem"/>
        <w:numPr>
          <w:ilvl w:val="1"/>
          <w:numId w:val="41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 škol a konzervatoří a studenti vyšších odborných škol),</w:t>
      </w:r>
    </w:p>
    <w:p w:rsidR="00691C80" w:rsidRDefault="00691C80" w:rsidP="00691C80">
      <w:pPr>
        <w:pStyle w:val="Odstavecseseznamem"/>
        <w:numPr>
          <w:ilvl w:val="1"/>
          <w:numId w:val="41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alespoň oběd a večeře (dále jen celodenní stravování).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 xml:space="preserve">Domovy mládeže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ubytovaný v domově mládeže, který se zároveň vzdělává:</w:t>
      </w:r>
    </w:p>
    <w:p w:rsidR="00691C80" w:rsidRDefault="00691C80" w:rsidP="00691C80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ve střední škole nebo konzervatoři,</w:t>
      </w:r>
    </w:p>
    <w:p w:rsidR="00691C80" w:rsidRDefault="00691C80" w:rsidP="00691C80">
      <w:pPr>
        <w:pStyle w:val="Odstavecseseznamem"/>
        <w:numPr>
          <w:ilvl w:val="1"/>
          <w:numId w:val="4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ve vyšší odborné škole.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umělecké školy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 uměleckém oboru v základní umělecké škole v jednotlivé formě výuky, který se zároveň vzdělává v základní škole, v denní formě vzdělávání ve střední škole, v denní formě vzdělávání v konzervatoři nebo v denní formě vzdělávání ve vyšší odborné škole nebo je dítětem před zahájením plnění povinné školní docházky.</w:t>
      </w:r>
    </w:p>
    <w:p w:rsidR="00691C80" w:rsidRDefault="00691C80" w:rsidP="00691C80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Střední školy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 oboru vzdělání ve střední škole v denní formě vzdělávání.</w:t>
      </w:r>
    </w:p>
    <w:p w:rsidR="00691C80" w:rsidRDefault="00691C80" w:rsidP="00691C80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Nástavbové studium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 oboru vzdělání v nástavbovém studiu v denní formě vzdělávání.</w:t>
      </w:r>
    </w:p>
    <w:p w:rsidR="00691C80" w:rsidRDefault="00691C80" w:rsidP="00691C80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Vyšší odborné školy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student v oboru vzdělání ve vyšší odborné škole v denní formě vzdělávání.</w:t>
      </w:r>
    </w:p>
    <w:p w:rsidR="00691C80" w:rsidRDefault="00691C80" w:rsidP="00691C80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Konzervatoře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 oboru vzdělání v konzervatoři v denní formě vzdělávání.</w:t>
      </w:r>
    </w:p>
    <w:p w:rsidR="00691C80" w:rsidRDefault="00691C80" w:rsidP="00691C80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Dětské domovy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- jednotkou výkonu je 1 lůžko z celkové lůžkové kapacity zapsané ve školském rejstříku pro děti umístěné v dětských domovech.</w:t>
      </w:r>
    </w:p>
    <w:p w:rsidR="00691C80" w:rsidRDefault="00691C80" w:rsidP="00691C80">
      <w:pPr>
        <w:pStyle w:val="Odstavecseseznamem"/>
        <w:numPr>
          <w:ilvl w:val="0"/>
          <w:numId w:val="36"/>
        </w:numPr>
        <w:tabs>
          <w:tab w:val="left" w:pos="426"/>
        </w:tabs>
        <w:spacing w:before="600" w:after="240" w:line="240" w:lineRule="auto"/>
        <w:ind w:left="357" w:hanging="357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přílohy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Mateřské školy s celodenním provozem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mateřských škol s celodenním provozem s počtem dětí do 400. Pro přehlednost jsou v grafech znázorněny MP také po částech pro 10 – 30 dětí, 30 – 100 dětí, 100 – 300 dětí. V grafické části jsou znázorněny závislosti krajských normativů MP pedagogů bez odvodů (graf č. 1 – 4)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100 dětí (graf č. 9),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MP pedagogů bez odvodů (tabulka č. 1),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5).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pouze ročníky prvního stupně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základních škol tvořených pouze ročníky 1. stupně s počtem žáků do 400. Pro přehlednost jsou v grafech znázorněny MP také po částech pro 5 – 30 žáků, 30 – 100 žáků, 100 – 300 žáků. V grafické části jsou znázorněny závislosti krajských normativů MP pedagogů bez odvodů (graf č. 1 – 4)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50 žáků (graf č. 9),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MP pedagogů bez odvodů (tabulka č. 1),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5).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Příloha č. 3: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oběma stupni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základních škol tvořených oběma stupni. MP pedagogů pro 1. stupeň jsou znázorněny do 500 žáků a po částech pak pro 1 – 85 žáků,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85 – 200 žáků, 200 – 500 žáků. MP pedagogů pro 2. stupeň jsou znázorněny do 500 žáků a po částech pak pro 45 – 100 žáků, 100 – 200 žáků, 200 – 500 žáků.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jsou znázorněny od 60 do 750 žáků a po částech pak pro 60 – 260 žáků, 260 – 500 žáků, 500 – 750 žáků. V grafické části jsou znázorněny závislosti krajských normativů MP pedagogů 1. stupně bez odvodů (graf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č. 1 – 4), MP pedagogů 2. stupně bez odvodů (graf č. 6 – 9)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11 – 14), výše ONIV pro 1. stupeň při počtu 100 žáků (graf č. 5), výše ONIV pro 2. stupeň při počtu 100 žáků (graf č. 10),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16). V tabulkové části jsou hodnoty krajských normativů MP pedagogů 1. stupně bez odvodů (tabulka č. 1), MP pedagogů 2. stupně bez odvodů (tabulka č. 2),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3), ONIV pro 1. stupeň (tabulka č. 4), ONIV pro 2. stupeň (tabulka č. 5),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1. stupeň (tabulka č. 6),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2. stupeň (tabulka č. 7) a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8).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4: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družiny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pedagogů bez odvodů a ONIV školních družin s počtem žáků do 300. Pro přehlednost jsou v grafech znázorněny MP také po částech pro 1 – 50 žáků, 50 – 150 žáků, 150 – 300 žáků. V grafické části jsou znázorněny závislosti krajských normativů MP pedagogů bez odvodů (graf č. 1 – 4), výše ONIV při počtu 100 žáků (graf č. 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MP pedagogů bez odvodů (tabulka č. 1), ONIV (tabulka č. 2),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5: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stravování ve školních jídelnách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5a: Stravovaní, vzdělávající se v mateřské škole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školních jídelen v mateřské škole s počtem stravovaných do 300. Pro přehlednost jsou v grafech znázorněny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30 stravovaných, 30 – 100 stravovaných, 100 – 300 stravovaných. V grafické části jsou znázorněny závislosti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6). V tabulkové části jsou hodnoty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1), ONIV (tabulka č. 2),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5b: Stravovaní, vzdělávající se v základní škole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školních jídelen v základní škole s počtem stravovaných do 1 000. Pro přehlednost jsou v grafech znázorněny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5c: Stravovaní, vzdělávající se ve střední škole, konzervatoři a vyšší odborné škole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školních jídelen ve střední škole, konzervatoři a vyšší odborné škole s počtem stravovaných do 1 000. Pro přehlednost jsou </w:t>
      </w: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v grafech znázorněny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5d: Celodenně stravovaní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školních jídelen s celodenním stravováním s počtem stravovaných do 960. Pro přehlednost jsou v grafech znázorněny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stravovaných. V grafické části jsou znázorněny závislosti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6: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6a: Ubytovaní žáci středních škol a konzervatoří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domovů mládeže s počtem ubytovaných do 500. Pro přehlednost jsou v grafech znázorněny MP pedagogů také po částech pro 1 – 30 ubytovaných, 30 – 100 ubytovaných, 100 – 300 ubytovaných, 300 – 500 ubytovaných. V grafické části jsou znázorněny závislosti krajských normativů MP pedagogů bez odvodů (graf č. 1 – 5), výše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6), výše ONIV při počtu 100 ubytovaných (graf č. 7),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MP bez odvodů (tabulka č. 1), ONIV (tabulka č. 2),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691C80" w:rsidRDefault="00691C80" w:rsidP="0095715C">
      <w:pPr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6b: Ubytovaní studenti vyšších odborných škol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domovů mládeže s počtem ubytovaných do 300. Pro přehlednost jsou v grafech znázorněny MP pedagogů také po částech pro 1 – 30 ubytovaných, 30 – 100 ubytovaných, 100 – 300 ubytovaných. V grafické části jsou znázorněny závislosti krajských normativů MP pedagogů bez odvodů (graf č. 1 – 4), výše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5), výše ONIV při počtu 100 ubytovaných (graf č. 6),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MP bez odvodů (tabulka č. 1), ONIV (tabulka č. 2),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3).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7: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umělecké školy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základních uměleckých škol pro pět oborů. V grafické části jsou znázorněny výše krajských normativů MP bez odvodů (graf č. 1), MP pedagogů bez odvodů (graf č. 2)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výše ONIV (graf č. 4),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V tabulce č. 2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Příloha č. 8: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Střední vzdělávání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8a: Střední vzdělání s maturitní zkouškou - kategorie oborů K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pěti typů gymnázií. U víceletých gymnázií porovnává nižší i vyšší stupně. V grafické části jsou znázorněny výše krajských normativů MP pedagogů bez odvodů (graf č. 1)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V tabulce č. 2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8b: Střední vzdělání s maturitní zkouškou - kategorie oborů M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dvaceti vybraných maturitních oborů vzdělání. V grafické části jsou znázorněny výše krajských normativů MP pedagogů bez odvodů (graf č. 1, 4, 7, 10)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8, 11), výše ONIV (graf č. 3, 6, 9, 12),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14). V tabulkové části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1, 2). V tabulkách č. 3 a 4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8c: Střední vzdělání s maturitní zkouškou - kategorie oborů L5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pěti vybraných oborů nástavbového studia. V grafické části jsou znázorněny výše krajských normativů MP pedagogů bez odvodů (graf č. 1)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MP bez odvodů, ONIV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V tabulce č. 2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8d: Střední vzdělání s maturitní zkouškou - kategorie oborů L0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pěti vybraných oborů vzdělávání pro teoretickou a odbornou výuku. V grafické části jsou znázorněny výše krajských normativů pro teoretickou výuku: MP pedagogů bez odvodů (graf č. 1),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jsou v tabulce č. 1 a pro odbornou výuku v tabulce č. 2. Porovnání s rokem 201</w:t>
      </w:r>
      <w:r w:rsidR="0095715C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a pro odbornou výuku v tabulce č. 4.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8e: Střední vzdělání s výučním listem - kategorie oborů H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patnácti vybraných učebních oborů vzdělávání pro teoretickou a odbornou výuku. V grafické části jsou znázorněny výše krajských normativů pro teoretickou výuku: MP pedagogů bez odvodů (graf č. 1, 4, 7),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8), ONIV (graf č. 3, 6, 9),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odbornou výuku: MP pedagogů bez odvodů (graf č. 12, 15, 18),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13, 16, 19), ONIV (graf č. 14, 17, 20),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21),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22). V tabulkové části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1, 2, 3) a pro odbornou výuku (tabulka č. 4, 5, 6). Porovnání s rokem 201</w:t>
      </w:r>
      <w:r w:rsidR="0095715C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tabulkách č. 7 až 9 a pro odbornou výuku v tabulkách č. 10 až 12.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lastRenderedPageBreak/>
        <w:t>Příloha č. 8f: Střední vzdělání s výučním listem - kategorie oborů 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pěti vybraných učebních oborů vzdělávání pro teoretickou a odbornou výuku. V grafické části jsou znázorněny výše krajských normativů pro teoretickou výuku: MP pedagogů bez odvodů (graf č. 1),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V tabulkové části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1) a pro odbornou výuku (tabulka č. 2). Porovnání s rokem 2015 je pro teoretickou výuku v tabulce č. 3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>a pro odbornou výuku v tabulce č. 4.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9: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Vyšší odborné školy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vyšších odborných škol pro pět vybraných vzdělávacích programů. V grafické části jsou znázorněny výše krajských normativů MP pedagogů bez odvodů (graf č. 1)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 ONIV (graf č. 3),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V tabulce č. 2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10: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  Konzervatoře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konzervatoří pro pět oborů vzdělávání. V grafické části jsou znázorněny výše krajských normativů MP bez odvodů (graf č. 1), MP pedagogů bez odvodů (graf č. 2) a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ONIV (graf č. 4), ukazatel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6), ukazatel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V tabulce č. 2 jsou porovnány hodnoty krajských normativů MP bez odvodů, ONIV a ukazatelé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letech 2015 a 2016.</w:t>
      </w:r>
    </w:p>
    <w:p w:rsidR="00691C80" w:rsidRDefault="00691C80" w:rsidP="00691C80">
      <w:pPr>
        <w:spacing w:before="360" w:after="0" w:line="240" w:lineRule="auto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11: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Mateřské školy s celodenním provozem – porovnání let 2014 až 2016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MP pedagogů bez odvodů,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26 dětí (graf č. 1, tabulka č. 1), 50 dětí (graf č. 2, tabulka č. 2)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112 dětí (graf č. 3, tabulka č. 3) v letech 2014 až 2016. 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12: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pouze ročníky 1. stupně – porovnání let 2014 až 2016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MP pedagogů bez odvodů,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16 žáků (graf č. 1, tabulka č. 1), 26 žáků (graf č. 2, tabulka č. 2)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a 85 žáků (graf č. 3, tabulka č. 3) v letech 2014 až 2016. 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13: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oběma stupni – porovnání let 2014 až 2016</w:t>
      </w:r>
    </w:p>
    <w:p w:rsidR="00691C80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pedagogů bez odvodů, ONIV a ukazatele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p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na 1. stupni pro 85 žáků (graf č. 1, tabulka č. 1), 110 žáků (graf č. 2, tabulka č. 2) a 200 žáků (graf č. 3, tabulka č. 3), na 2. stupni pro 68 žáků (graf č. 4, tabulka č. 4), 88 žáků (graf č. 5, tabulka č. 5) a 160 žáků (graf č. 6, tabulka č. 6) v letech 2013 až 2015. Dále pak porovnává MP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ukazatele N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pro 153 žáků (graf č. 7, tabulka č. 7), 198 žáků (graf č. 8, tabulka č. 8) a 360 žáků (graf č. 9, tabulka č. 9) v letech 2014 až 2016. </w:t>
      </w:r>
    </w:p>
    <w:p w:rsidR="00691C80" w:rsidRDefault="00691C80" w:rsidP="00691C8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14: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Meziroční porovnání ukazatelů Pp, </w:t>
      </w:r>
      <w:proofErr w:type="gramStart"/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Po</w:t>
      </w:r>
      <w:proofErr w:type="gramEnd"/>
    </w:p>
    <w:p w:rsidR="00637D84" w:rsidRPr="00752C4B" w:rsidRDefault="00691C80" w:rsidP="00691C80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Porovnává ukazatele průměrné měsíční výše rozpočtovaného platu pro pedagogické (P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  <w:t>a nepedagogic</w:t>
      </w:r>
      <w:bookmarkStart w:id="0" w:name="_GoBack"/>
      <w:bookmarkEnd w:id="0"/>
      <w:r>
        <w:rPr>
          <w:rFonts w:asciiTheme="minorHAnsi" w:eastAsia="Times New Roman" w:hAnsiTheme="minorHAnsi"/>
          <w:sz w:val="24"/>
          <w:szCs w:val="24"/>
          <w:lang w:eastAsia="cs-CZ"/>
        </w:rPr>
        <w:t>ké (P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) pracovníky v letech 2015 a 2016.</w:t>
      </w:r>
    </w:p>
    <w:sectPr w:rsidR="00637D84" w:rsidRPr="00752C4B" w:rsidSect="00757FB1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DB" w:rsidRDefault="005208DB" w:rsidP="00C03BAC">
      <w:pPr>
        <w:spacing w:after="0" w:line="240" w:lineRule="auto"/>
      </w:pPr>
      <w:r>
        <w:separator/>
      </w:r>
    </w:p>
  </w:endnote>
  <w:endnote w:type="continuationSeparator" w:id="0">
    <w:p w:rsidR="005208DB" w:rsidRDefault="005208DB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445737"/>
      <w:docPartObj>
        <w:docPartGallery w:val="Page Numbers (Bottom of Page)"/>
        <w:docPartUnique/>
      </w:docPartObj>
    </w:sdtPr>
    <w:sdtEndPr/>
    <w:sdtContent>
      <w:p w:rsidR="00CB632A" w:rsidRDefault="00CB6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5C">
          <w:rPr>
            <w:noProof/>
          </w:rPr>
          <w:t>2</w:t>
        </w:r>
        <w:r>
          <w:fldChar w:fldCharType="end"/>
        </w:r>
      </w:p>
    </w:sdtContent>
  </w:sdt>
  <w:p w:rsidR="00CB632A" w:rsidRDefault="00CB6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63312"/>
      <w:docPartObj>
        <w:docPartGallery w:val="Page Numbers (Bottom of Page)"/>
        <w:docPartUnique/>
      </w:docPartObj>
    </w:sdtPr>
    <w:sdtEndPr/>
    <w:sdtContent>
      <w:p w:rsidR="005B1E6A" w:rsidRDefault="00637D84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DB" w:rsidRDefault="005208DB" w:rsidP="00C03BAC">
      <w:pPr>
        <w:spacing w:after="0" w:line="240" w:lineRule="auto"/>
      </w:pPr>
      <w:r>
        <w:separator/>
      </w:r>
    </w:p>
  </w:footnote>
  <w:footnote w:type="continuationSeparator" w:id="0">
    <w:p w:rsidR="005208DB" w:rsidRDefault="005208DB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2A" w:rsidRPr="00CB632A" w:rsidRDefault="00CB632A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Materiál MŠMT </w:t>
    </w:r>
    <w:proofErr w:type="gramStart"/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č.j.</w:t>
    </w:r>
    <w:proofErr w:type="gramEnd"/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>
    <w:nsid w:val="7BE721DC"/>
    <w:multiLevelType w:val="hybridMultilevel"/>
    <w:tmpl w:val="4BF8C55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9"/>
  </w:num>
  <w:num w:numId="5">
    <w:abstractNumId w:val="10"/>
  </w:num>
  <w:num w:numId="6">
    <w:abstractNumId w:val="26"/>
  </w:num>
  <w:num w:numId="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0"/>
  </w:num>
  <w:num w:numId="9">
    <w:abstractNumId w:val="30"/>
  </w:num>
  <w:num w:numId="10">
    <w:abstractNumId w:val="25"/>
  </w:num>
  <w:num w:numId="11">
    <w:abstractNumId w:val="2"/>
  </w:num>
  <w:num w:numId="12">
    <w:abstractNumId w:val="2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33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  <w:num w:numId="30">
    <w:abstractNumId w:val="13"/>
  </w:num>
  <w:num w:numId="31">
    <w:abstractNumId w:val="27"/>
  </w:num>
  <w:num w:numId="32">
    <w:abstractNumId w:val="15"/>
  </w:num>
  <w:num w:numId="33">
    <w:abstractNumId w:val="32"/>
  </w:num>
  <w:num w:numId="34">
    <w:abstractNumId w:val="12"/>
  </w:num>
  <w:num w:numId="35">
    <w:abstractNumId w:val="2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9"/>
    <w:rsid w:val="0000005E"/>
    <w:rsid w:val="00003551"/>
    <w:rsid w:val="00005A89"/>
    <w:rsid w:val="00013DAB"/>
    <w:rsid w:val="00016050"/>
    <w:rsid w:val="00020971"/>
    <w:rsid w:val="00023EA3"/>
    <w:rsid w:val="0003588A"/>
    <w:rsid w:val="00035FB7"/>
    <w:rsid w:val="000412D7"/>
    <w:rsid w:val="00053A60"/>
    <w:rsid w:val="00055BF9"/>
    <w:rsid w:val="00062A00"/>
    <w:rsid w:val="00063B77"/>
    <w:rsid w:val="00064D9E"/>
    <w:rsid w:val="000705D7"/>
    <w:rsid w:val="00082BF9"/>
    <w:rsid w:val="00086BEF"/>
    <w:rsid w:val="0009022E"/>
    <w:rsid w:val="00090831"/>
    <w:rsid w:val="00092B43"/>
    <w:rsid w:val="0009435E"/>
    <w:rsid w:val="00094C24"/>
    <w:rsid w:val="000A1771"/>
    <w:rsid w:val="000A22AA"/>
    <w:rsid w:val="000A778A"/>
    <w:rsid w:val="000B29D5"/>
    <w:rsid w:val="000B3EB6"/>
    <w:rsid w:val="000B4688"/>
    <w:rsid w:val="000B504B"/>
    <w:rsid w:val="000C4BB7"/>
    <w:rsid w:val="000C54F7"/>
    <w:rsid w:val="000C6156"/>
    <w:rsid w:val="000C6524"/>
    <w:rsid w:val="000C696E"/>
    <w:rsid w:val="000D22E7"/>
    <w:rsid w:val="000D3108"/>
    <w:rsid w:val="000D3636"/>
    <w:rsid w:val="000D4B41"/>
    <w:rsid w:val="000D665C"/>
    <w:rsid w:val="000D708A"/>
    <w:rsid w:val="000D73EA"/>
    <w:rsid w:val="000E3348"/>
    <w:rsid w:val="000E4E2D"/>
    <w:rsid w:val="000F25FB"/>
    <w:rsid w:val="000F3183"/>
    <w:rsid w:val="000F3ED9"/>
    <w:rsid w:val="000F5E11"/>
    <w:rsid w:val="0010191D"/>
    <w:rsid w:val="00101F47"/>
    <w:rsid w:val="0010376F"/>
    <w:rsid w:val="0010555C"/>
    <w:rsid w:val="00105561"/>
    <w:rsid w:val="001056BD"/>
    <w:rsid w:val="00105E78"/>
    <w:rsid w:val="00107CEB"/>
    <w:rsid w:val="00111177"/>
    <w:rsid w:val="00114FBF"/>
    <w:rsid w:val="001150E9"/>
    <w:rsid w:val="00115439"/>
    <w:rsid w:val="001270DB"/>
    <w:rsid w:val="00133451"/>
    <w:rsid w:val="00133873"/>
    <w:rsid w:val="0013713A"/>
    <w:rsid w:val="001410CA"/>
    <w:rsid w:val="001438D0"/>
    <w:rsid w:val="001470ED"/>
    <w:rsid w:val="001507AE"/>
    <w:rsid w:val="00151297"/>
    <w:rsid w:val="00152D8A"/>
    <w:rsid w:val="001534C2"/>
    <w:rsid w:val="00154331"/>
    <w:rsid w:val="00154411"/>
    <w:rsid w:val="00156176"/>
    <w:rsid w:val="00160B96"/>
    <w:rsid w:val="001622BB"/>
    <w:rsid w:val="00164E9F"/>
    <w:rsid w:val="00165F6D"/>
    <w:rsid w:val="00167075"/>
    <w:rsid w:val="00172B20"/>
    <w:rsid w:val="00174A90"/>
    <w:rsid w:val="001757FB"/>
    <w:rsid w:val="001765E0"/>
    <w:rsid w:val="0018024C"/>
    <w:rsid w:val="00180849"/>
    <w:rsid w:val="001903CB"/>
    <w:rsid w:val="00194822"/>
    <w:rsid w:val="0019496D"/>
    <w:rsid w:val="001960B4"/>
    <w:rsid w:val="00196508"/>
    <w:rsid w:val="001A1F11"/>
    <w:rsid w:val="001A681D"/>
    <w:rsid w:val="001B10A9"/>
    <w:rsid w:val="001B2B71"/>
    <w:rsid w:val="001C1D91"/>
    <w:rsid w:val="001C5D2C"/>
    <w:rsid w:val="001C678A"/>
    <w:rsid w:val="001D05BE"/>
    <w:rsid w:val="001D117A"/>
    <w:rsid w:val="001D4BDD"/>
    <w:rsid w:val="001D50E6"/>
    <w:rsid w:val="001D5857"/>
    <w:rsid w:val="001D63D4"/>
    <w:rsid w:val="001E0577"/>
    <w:rsid w:val="001E2A76"/>
    <w:rsid w:val="001E5968"/>
    <w:rsid w:val="001E5E3E"/>
    <w:rsid w:val="001F20E9"/>
    <w:rsid w:val="001F3E08"/>
    <w:rsid w:val="001F412A"/>
    <w:rsid w:val="001F426C"/>
    <w:rsid w:val="001F4DDC"/>
    <w:rsid w:val="001F5486"/>
    <w:rsid w:val="001F73E9"/>
    <w:rsid w:val="00201853"/>
    <w:rsid w:val="00203F7C"/>
    <w:rsid w:val="00213E19"/>
    <w:rsid w:val="00215A47"/>
    <w:rsid w:val="002207A8"/>
    <w:rsid w:val="002227A7"/>
    <w:rsid w:val="002231E6"/>
    <w:rsid w:val="00223834"/>
    <w:rsid w:val="00223C11"/>
    <w:rsid w:val="00233BD6"/>
    <w:rsid w:val="00235147"/>
    <w:rsid w:val="002410A1"/>
    <w:rsid w:val="00244720"/>
    <w:rsid w:val="0024652A"/>
    <w:rsid w:val="00250300"/>
    <w:rsid w:val="002535CA"/>
    <w:rsid w:val="00254068"/>
    <w:rsid w:val="00257E67"/>
    <w:rsid w:val="002606A3"/>
    <w:rsid w:val="0026489D"/>
    <w:rsid w:val="00267080"/>
    <w:rsid w:val="00275B42"/>
    <w:rsid w:val="00275B62"/>
    <w:rsid w:val="00277B13"/>
    <w:rsid w:val="0028357A"/>
    <w:rsid w:val="00295E2A"/>
    <w:rsid w:val="00295E37"/>
    <w:rsid w:val="002A12A0"/>
    <w:rsid w:val="002A1667"/>
    <w:rsid w:val="002A3FD2"/>
    <w:rsid w:val="002A5A49"/>
    <w:rsid w:val="002A6A64"/>
    <w:rsid w:val="002A78F3"/>
    <w:rsid w:val="002A7E13"/>
    <w:rsid w:val="002B08C2"/>
    <w:rsid w:val="002B1BAB"/>
    <w:rsid w:val="002B2E9B"/>
    <w:rsid w:val="002B5BA6"/>
    <w:rsid w:val="002B709D"/>
    <w:rsid w:val="002B7FC5"/>
    <w:rsid w:val="002C25D5"/>
    <w:rsid w:val="002C4459"/>
    <w:rsid w:val="002C5E8C"/>
    <w:rsid w:val="002C69A6"/>
    <w:rsid w:val="002D3DB7"/>
    <w:rsid w:val="002D6F10"/>
    <w:rsid w:val="002E014D"/>
    <w:rsid w:val="002E05BB"/>
    <w:rsid w:val="002F0A3E"/>
    <w:rsid w:val="002F1B44"/>
    <w:rsid w:val="00300F5F"/>
    <w:rsid w:val="00301148"/>
    <w:rsid w:val="00301844"/>
    <w:rsid w:val="00302281"/>
    <w:rsid w:val="00310AAE"/>
    <w:rsid w:val="00311118"/>
    <w:rsid w:val="0031222A"/>
    <w:rsid w:val="0031419E"/>
    <w:rsid w:val="00316B5E"/>
    <w:rsid w:val="0031708E"/>
    <w:rsid w:val="003232C6"/>
    <w:rsid w:val="003236D4"/>
    <w:rsid w:val="0032419A"/>
    <w:rsid w:val="00324DF8"/>
    <w:rsid w:val="00325AE8"/>
    <w:rsid w:val="003277C0"/>
    <w:rsid w:val="00330625"/>
    <w:rsid w:val="00332D44"/>
    <w:rsid w:val="0033310D"/>
    <w:rsid w:val="003337A0"/>
    <w:rsid w:val="00334BBB"/>
    <w:rsid w:val="00335FDE"/>
    <w:rsid w:val="00346FD2"/>
    <w:rsid w:val="00347377"/>
    <w:rsid w:val="00356F1C"/>
    <w:rsid w:val="00357512"/>
    <w:rsid w:val="00362682"/>
    <w:rsid w:val="003677BE"/>
    <w:rsid w:val="003700D4"/>
    <w:rsid w:val="00372049"/>
    <w:rsid w:val="003724B3"/>
    <w:rsid w:val="003747C4"/>
    <w:rsid w:val="00376A95"/>
    <w:rsid w:val="00377154"/>
    <w:rsid w:val="00381D37"/>
    <w:rsid w:val="00382C37"/>
    <w:rsid w:val="00384088"/>
    <w:rsid w:val="00385C28"/>
    <w:rsid w:val="00385ED5"/>
    <w:rsid w:val="0038647E"/>
    <w:rsid w:val="003865DC"/>
    <w:rsid w:val="003903E1"/>
    <w:rsid w:val="00391F9E"/>
    <w:rsid w:val="003940A7"/>
    <w:rsid w:val="0039447A"/>
    <w:rsid w:val="00394A7A"/>
    <w:rsid w:val="003957EE"/>
    <w:rsid w:val="003A2C41"/>
    <w:rsid w:val="003A3F78"/>
    <w:rsid w:val="003A432B"/>
    <w:rsid w:val="003A457F"/>
    <w:rsid w:val="003A4BD3"/>
    <w:rsid w:val="003A5BE4"/>
    <w:rsid w:val="003A7091"/>
    <w:rsid w:val="003B225C"/>
    <w:rsid w:val="003B445B"/>
    <w:rsid w:val="003B730E"/>
    <w:rsid w:val="003B7AB4"/>
    <w:rsid w:val="003C1775"/>
    <w:rsid w:val="003C2F64"/>
    <w:rsid w:val="003C65E6"/>
    <w:rsid w:val="003D09D2"/>
    <w:rsid w:val="003D2438"/>
    <w:rsid w:val="003D28C0"/>
    <w:rsid w:val="003D7932"/>
    <w:rsid w:val="003E3226"/>
    <w:rsid w:val="003E3563"/>
    <w:rsid w:val="003E5206"/>
    <w:rsid w:val="003F04A3"/>
    <w:rsid w:val="003F325B"/>
    <w:rsid w:val="003F57AC"/>
    <w:rsid w:val="003F7D61"/>
    <w:rsid w:val="004003E8"/>
    <w:rsid w:val="00401290"/>
    <w:rsid w:val="0040355B"/>
    <w:rsid w:val="00403F82"/>
    <w:rsid w:val="0040558D"/>
    <w:rsid w:val="00406702"/>
    <w:rsid w:val="00410234"/>
    <w:rsid w:val="00413BA5"/>
    <w:rsid w:val="004224BE"/>
    <w:rsid w:val="00425924"/>
    <w:rsid w:val="004261D4"/>
    <w:rsid w:val="0042740D"/>
    <w:rsid w:val="00430EAF"/>
    <w:rsid w:val="00434C6A"/>
    <w:rsid w:val="00434D0F"/>
    <w:rsid w:val="004356D6"/>
    <w:rsid w:val="004379F9"/>
    <w:rsid w:val="00446DF7"/>
    <w:rsid w:val="0045105B"/>
    <w:rsid w:val="00466087"/>
    <w:rsid w:val="00472C3F"/>
    <w:rsid w:val="00480CD6"/>
    <w:rsid w:val="00482F4F"/>
    <w:rsid w:val="00485C5E"/>
    <w:rsid w:val="00487B09"/>
    <w:rsid w:val="004902E2"/>
    <w:rsid w:val="00490F64"/>
    <w:rsid w:val="00492269"/>
    <w:rsid w:val="004A327C"/>
    <w:rsid w:val="004A3749"/>
    <w:rsid w:val="004A7DB3"/>
    <w:rsid w:val="004B32F5"/>
    <w:rsid w:val="004B3A4B"/>
    <w:rsid w:val="004B4B57"/>
    <w:rsid w:val="004B67A3"/>
    <w:rsid w:val="004C0AD0"/>
    <w:rsid w:val="004D0122"/>
    <w:rsid w:val="004D0A3A"/>
    <w:rsid w:val="004D3F4C"/>
    <w:rsid w:val="004D5789"/>
    <w:rsid w:val="004D6205"/>
    <w:rsid w:val="004E0497"/>
    <w:rsid w:val="004E0B91"/>
    <w:rsid w:val="004E2B40"/>
    <w:rsid w:val="004E7084"/>
    <w:rsid w:val="004E780B"/>
    <w:rsid w:val="004F1B5B"/>
    <w:rsid w:val="004F4411"/>
    <w:rsid w:val="004F52D6"/>
    <w:rsid w:val="00500052"/>
    <w:rsid w:val="005004BC"/>
    <w:rsid w:val="005055D6"/>
    <w:rsid w:val="00506007"/>
    <w:rsid w:val="00507D6D"/>
    <w:rsid w:val="00512778"/>
    <w:rsid w:val="00515C5E"/>
    <w:rsid w:val="00515CA1"/>
    <w:rsid w:val="00517129"/>
    <w:rsid w:val="005204FF"/>
    <w:rsid w:val="005208DB"/>
    <w:rsid w:val="00523437"/>
    <w:rsid w:val="00523DDF"/>
    <w:rsid w:val="00525B63"/>
    <w:rsid w:val="00525FF0"/>
    <w:rsid w:val="00531893"/>
    <w:rsid w:val="0053320C"/>
    <w:rsid w:val="005345AF"/>
    <w:rsid w:val="00537534"/>
    <w:rsid w:val="005406D6"/>
    <w:rsid w:val="00541282"/>
    <w:rsid w:val="00546D15"/>
    <w:rsid w:val="00546EA3"/>
    <w:rsid w:val="005508CA"/>
    <w:rsid w:val="00552401"/>
    <w:rsid w:val="005541EF"/>
    <w:rsid w:val="00554AA5"/>
    <w:rsid w:val="00560483"/>
    <w:rsid w:val="00566634"/>
    <w:rsid w:val="00566F17"/>
    <w:rsid w:val="005670FB"/>
    <w:rsid w:val="005708E0"/>
    <w:rsid w:val="005709D9"/>
    <w:rsid w:val="00576A12"/>
    <w:rsid w:val="00576EE9"/>
    <w:rsid w:val="00580019"/>
    <w:rsid w:val="00584CD7"/>
    <w:rsid w:val="00584EE7"/>
    <w:rsid w:val="0058605D"/>
    <w:rsid w:val="0058647A"/>
    <w:rsid w:val="00587434"/>
    <w:rsid w:val="00592675"/>
    <w:rsid w:val="00595203"/>
    <w:rsid w:val="0059524E"/>
    <w:rsid w:val="005A1DB9"/>
    <w:rsid w:val="005A2D02"/>
    <w:rsid w:val="005A403E"/>
    <w:rsid w:val="005A7143"/>
    <w:rsid w:val="005B1E6A"/>
    <w:rsid w:val="005C04D0"/>
    <w:rsid w:val="005C06AA"/>
    <w:rsid w:val="005C66DA"/>
    <w:rsid w:val="005C6A19"/>
    <w:rsid w:val="005D0C3D"/>
    <w:rsid w:val="005D5074"/>
    <w:rsid w:val="005D6E3F"/>
    <w:rsid w:val="005D715C"/>
    <w:rsid w:val="005D7B5A"/>
    <w:rsid w:val="005E03E1"/>
    <w:rsid w:val="005E1328"/>
    <w:rsid w:val="005E18A8"/>
    <w:rsid w:val="005F0887"/>
    <w:rsid w:val="005F117B"/>
    <w:rsid w:val="005F15CE"/>
    <w:rsid w:val="005F764E"/>
    <w:rsid w:val="00605D8D"/>
    <w:rsid w:val="00613AB8"/>
    <w:rsid w:val="00613D0B"/>
    <w:rsid w:val="00616BCF"/>
    <w:rsid w:val="00617026"/>
    <w:rsid w:val="00617CD8"/>
    <w:rsid w:val="0062129B"/>
    <w:rsid w:val="0062177C"/>
    <w:rsid w:val="00625C64"/>
    <w:rsid w:val="00625E3A"/>
    <w:rsid w:val="00625E71"/>
    <w:rsid w:val="0063789C"/>
    <w:rsid w:val="00637D84"/>
    <w:rsid w:val="00642171"/>
    <w:rsid w:val="0064222F"/>
    <w:rsid w:val="00651C45"/>
    <w:rsid w:val="0065222C"/>
    <w:rsid w:val="00652E72"/>
    <w:rsid w:val="0065305E"/>
    <w:rsid w:val="006578CE"/>
    <w:rsid w:val="00664853"/>
    <w:rsid w:val="00670888"/>
    <w:rsid w:val="00671FFA"/>
    <w:rsid w:val="00673144"/>
    <w:rsid w:val="00673580"/>
    <w:rsid w:val="0067638A"/>
    <w:rsid w:val="00683401"/>
    <w:rsid w:val="00683D61"/>
    <w:rsid w:val="00691C80"/>
    <w:rsid w:val="0069210E"/>
    <w:rsid w:val="00692F14"/>
    <w:rsid w:val="00697F8A"/>
    <w:rsid w:val="006A156C"/>
    <w:rsid w:val="006A1B57"/>
    <w:rsid w:val="006A33AF"/>
    <w:rsid w:val="006A3AC2"/>
    <w:rsid w:val="006A7877"/>
    <w:rsid w:val="006B44EF"/>
    <w:rsid w:val="006B5665"/>
    <w:rsid w:val="006B5E4D"/>
    <w:rsid w:val="006C4976"/>
    <w:rsid w:val="006C69D8"/>
    <w:rsid w:val="006D0B0A"/>
    <w:rsid w:val="006D0CA9"/>
    <w:rsid w:val="006D1540"/>
    <w:rsid w:val="006D1EC0"/>
    <w:rsid w:val="006D3134"/>
    <w:rsid w:val="006D796B"/>
    <w:rsid w:val="006E3482"/>
    <w:rsid w:val="006E34DE"/>
    <w:rsid w:val="006E3AF3"/>
    <w:rsid w:val="006F0003"/>
    <w:rsid w:val="006F2049"/>
    <w:rsid w:val="006F61F2"/>
    <w:rsid w:val="006F62A4"/>
    <w:rsid w:val="006F6D0C"/>
    <w:rsid w:val="00703B5B"/>
    <w:rsid w:val="00704FC0"/>
    <w:rsid w:val="007058FF"/>
    <w:rsid w:val="007059D5"/>
    <w:rsid w:val="007062EE"/>
    <w:rsid w:val="0071497B"/>
    <w:rsid w:val="00716322"/>
    <w:rsid w:val="00720854"/>
    <w:rsid w:val="007219CD"/>
    <w:rsid w:val="00722B42"/>
    <w:rsid w:val="007276B0"/>
    <w:rsid w:val="0073178F"/>
    <w:rsid w:val="007320A2"/>
    <w:rsid w:val="007325E9"/>
    <w:rsid w:val="00734DA5"/>
    <w:rsid w:val="007352DF"/>
    <w:rsid w:val="00737148"/>
    <w:rsid w:val="007403C6"/>
    <w:rsid w:val="00741343"/>
    <w:rsid w:val="00744A6C"/>
    <w:rsid w:val="00745FD3"/>
    <w:rsid w:val="00750949"/>
    <w:rsid w:val="00752C4B"/>
    <w:rsid w:val="00752EA4"/>
    <w:rsid w:val="007562A1"/>
    <w:rsid w:val="00757583"/>
    <w:rsid w:val="00757FB1"/>
    <w:rsid w:val="00761AC0"/>
    <w:rsid w:val="00762668"/>
    <w:rsid w:val="0076532C"/>
    <w:rsid w:val="007676AB"/>
    <w:rsid w:val="00774D89"/>
    <w:rsid w:val="00781BBF"/>
    <w:rsid w:val="00785224"/>
    <w:rsid w:val="00785F6F"/>
    <w:rsid w:val="00791BD6"/>
    <w:rsid w:val="007929B3"/>
    <w:rsid w:val="00793412"/>
    <w:rsid w:val="00796246"/>
    <w:rsid w:val="00796D0F"/>
    <w:rsid w:val="007A1C34"/>
    <w:rsid w:val="007A551A"/>
    <w:rsid w:val="007A6C55"/>
    <w:rsid w:val="007B1592"/>
    <w:rsid w:val="007B41E2"/>
    <w:rsid w:val="007C0D15"/>
    <w:rsid w:val="007C10EF"/>
    <w:rsid w:val="007C1206"/>
    <w:rsid w:val="007C232D"/>
    <w:rsid w:val="007C536F"/>
    <w:rsid w:val="007C576A"/>
    <w:rsid w:val="007D33B5"/>
    <w:rsid w:val="007D3DA8"/>
    <w:rsid w:val="007D458B"/>
    <w:rsid w:val="007E6A18"/>
    <w:rsid w:val="007F0827"/>
    <w:rsid w:val="007F15C3"/>
    <w:rsid w:val="00802FFB"/>
    <w:rsid w:val="00804AE1"/>
    <w:rsid w:val="00811541"/>
    <w:rsid w:val="008117BD"/>
    <w:rsid w:val="0081745C"/>
    <w:rsid w:val="008206E6"/>
    <w:rsid w:val="00827D53"/>
    <w:rsid w:val="008316C0"/>
    <w:rsid w:val="00832E55"/>
    <w:rsid w:val="008337C7"/>
    <w:rsid w:val="00841CAE"/>
    <w:rsid w:val="00843329"/>
    <w:rsid w:val="00845BB1"/>
    <w:rsid w:val="0084688E"/>
    <w:rsid w:val="00850132"/>
    <w:rsid w:val="00850A02"/>
    <w:rsid w:val="00855830"/>
    <w:rsid w:val="008576F6"/>
    <w:rsid w:val="00861C2F"/>
    <w:rsid w:val="00862BFD"/>
    <w:rsid w:val="00863108"/>
    <w:rsid w:val="00870E56"/>
    <w:rsid w:val="008722AA"/>
    <w:rsid w:val="0087321D"/>
    <w:rsid w:val="008746DD"/>
    <w:rsid w:val="008747A0"/>
    <w:rsid w:val="00876EBC"/>
    <w:rsid w:val="00882533"/>
    <w:rsid w:val="008855FD"/>
    <w:rsid w:val="00886199"/>
    <w:rsid w:val="008946DA"/>
    <w:rsid w:val="00895B1B"/>
    <w:rsid w:val="008A0909"/>
    <w:rsid w:val="008A326D"/>
    <w:rsid w:val="008A7747"/>
    <w:rsid w:val="008B0CDA"/>
    <w:rsid w:val="008B415D"/>
    <w:rsid w:val="008B7EBD"/>
    <w:rsid w:val="008C072C"/>
    <w:rsid w:val="008C1CE2"/>
    <w:rsid w:val="008C60F0"/>
    <w:rsid w:val="008D1487"/>
    <w:rsid w:val="008D7343"/>
    <w:rsid w:val="008E5641"/>
    <w:rsid w:val="008F15DF"/>
    <w:rsid w:val="008F4237"/>
    <w:rsid w:val="008F5F79"/>
    <w:rsid w:val="00900C60"/>
    <w:rsid w:val="00903807"/>
    <w:rsid w:val="00907F5F"/>
    <w:rsid w:val="00913678"/>
    <w:rsid w:val="0091404F"/>
    <w:rsid w:val="00914592"/>
    <w:rsid w:val="00916944"/>
    <w:rsid w:val="00916F77"/>
    <w:rsid w:val="00917E9E"/>
    <w:rsid w:val="00920702"/>
    <w:rsid w:val="009232E1"/>
    <w:rsid w:val="00923AEF"/>
    <w:rsid w:val="00924490"/>
    <w:rsid w:val="00925FB4"/>
    <w:rsid w:val="009271CD"/>
    <w:rsid w:val="00930D11"/>
    <w:rsid w:val="00931D85"/>
    <w:rsid w:val="00932A3F"/>
    <w:rsid w:val="00934072"/>
    <w:rsid w:val="00935752"/>
    <w:rsid w:val="009358CD"/>
    <w:rsid w:val="00936C24"/>
    <w:rsid w:val="00936F73"/>
    <w:rsid w:val="00937A7E"/>
    <w:rsid w:val="00940D63"/>
    <w:rsid w:val="009440EF"/>
    <w:rsid w:val="00944D22"/>
    <w:rsid w:val="009502E4"/>
    <w:rsid w:val="00952205"/>
    <w:rsid w:val="0095432D"/>
    <w:rsid w:val="00956C46"/>
    <w:rsid w:val="0095715C"/>
    <w:rsid w:val="00957261"/>
    <w:rsid w:val="0096080C"/>
    <w:rsid w:val="00960F8F"/>
    <w:rsid w:val="00964227"/>
    <w:rsid w:val="009655D5"/>
    <w:rsid w:val="00966470"/>
    <w:rsid w:val="00966E6A"/>
    <w:rsid w:val="00967AEB"/>
    <w:rsid w:val="009718EE"/>
    <w:rsid w:val="00975CBB"/>
    <w:rsid w:val="009778D1"/>
    <w:rsid w:val="00982163"/>
    <w:rsid w:val="0098362C"/>
    <w:rsid w:val="00983FFA"/>
    <w:rsid w:val="00984FA5"/>
    <w:rsid w:val="00987349"/>
    <w:rsid w:val="00992424"/>
    <w:rsid w:val="009A07D4"/>
    <w:rsid w:val="009A08CD"/>
    <w:rsid w:val="009A0AA8"/>
    <w:rsid w:val="009A2ED2"/>
    <w:rsid w:val="009A3E97"/>
    <w:rsid w:val="009A61D8"/>
    <w:rsid w:val="009B1658"/>
    <w:rsid w:val="009B4F76"/>
    <w:rsid w:val="009C1734"/>
    <w:rsid w:val="009C31CA"/>
    <w:rsid w:val="009D18E4"/>
    <w:rsid w:val="009E03F4"/>
    <w:rsid w:val="009E1B8B"/>
    <w:rsid w:val="009E4389"/>
    <w:rsid w:val="009E4ECF"/>
    <w:rsid w:val="009E5F19"/>
    <w:rsid w:val="009F3C49"/>
    <w:rsid w:val="009F6F12"/>
    <w:rsid w:val="009F733F"/>
    <w:rsid w:val="00A023D9"/>
    <w:rsid w:val="00A02656"/>
    <w:rsid w:val="00A0268D"/>
    <w:rsid w:val="00A03ED0"/>
    <w:rsid w:val="00A05C62"/>
    <w:rsid w:val="00A15059"/>
    <w:rsid w:val="00A2198B"/>
    <w:rsid w:val="00A25FA1"/>
    <w:rsid w:val="00A278FC"/>
    <w:rsid w:val="00A354AD"/>
    <w:rsid w:val="00A3561D"/>
    <w:rsid w:val="00A40BED"/>
    <w:rsid w:val="00A43301"/>
    <w:rsid w:val="00A43B89"/>
    <w:rsid w:val="00A46967"/>
    <w:rsid w:val="00A56B59"/>
    <w:rsid w:val="00A63C7F"/>
    <w:rsid w:val="00A65244"/>
    <w:rsid w:val="00A66EB4"/>
    <w:rsid w:val="00A67C65"/>
    <w:rsid w:val="00A706FD"/>
    <w:rsid w:val="00A72182"/>
    <w:rsid w:val="00A77380"/>
    <w:rsid w:val="00A833C7"/>
    <w:rsid w:val="00A84A48"/>
    <w:rsid w:val="00A859AC"/>
    <w:rsid w:val="00A873A5"/>
    <w:rsid w:val="00A919EC"/>
    <w:rsid w:val="00AA06A3"/>
    <w:rsid w:val="00AA11A2"/>
    <w:rsid w:val="00AA30AC"/>
    <w:rsid w:val="00AA79C3"/>
    <w:rsid w:val="00AB01BF"/>
    <w:rsid w:val="00AB0EF2"/>
    <w:rsid w:val="00AB492D"/>
    <w:rsid w:val="00AB5F90"/>
    <w:rsid w:val="00AB745E"/>
    <w:rsid w:val="00AB7CEC"/>
    <w:rsid w:val="00AC707D"/>
    <w:rsid w:val="00AC72BA"/>
    <w:rsid w:val="00AD032B"/>
    <w:rsid w:val="00AD0AA7"/>
    <w:rsid w:val="00AD1FBC"/>
    <w:rsid w:val="00AD7EF1"/>
    <w:rsid w:val="00AE021A"/>
    <w:rsid w:val="00AE21B3"/>
    <w:rsid w:val="00AF3D49"/>
    <w:rsid w:val="00AF458B"/>
    <w:rsid w:val="00AF7AF7"/>
    <w:rsid w:val="00B02F8D"/>
    <w:rsid w:val="00B03A7D"/>
    <w:rsid w:val="00B07657"/>
    <w:rsid w:val="00B143A0"/>
    <w:rsid w:val="00B1451C"/>
    <w:rsid w:val="00B1584C"/>
    <w:rsid w:val="00B16323"/>
    <w:rsid w:val="00B176B6"/>
    <w:rsid w:val="00B22158"/>
    <w:rsid w:val="00B261E6"/>
    <w:rsid w:val="00B27043"/>
    <w:rsid w:val="00B313B2"/>
    <w:rsid w:val="00B325F1"/>
    <w:rsid w:val="00B34F2E"/>
    <w:rsid w:val="00B34F36"/>
    <w:rsid w:val="00B36AC6"/>
    <w:rsid w:val="00B378E3"/>
    <w:rsid w:val="00B37EAE"/>
    <w:rsid w:val="00B42F7F"/>
    <w:rsid w:val="00B432BA"/>
    <w:rsid w:val="00B44092"/>
    <w:rsid w:val="00B512CF"/>
    <w:rsid w:val="00B5586E"/>
    <w:rsid w:val="00B55A16"/>
    <w:rsid w:val="00B57B9B"/>
    <w:rsid w:val="00B60DCF"/>
    <w:rsid w:val="00B662D3"/>
    <w:rsid w:val="00B677E7"/>
    <w:rsid w:val="00B67F40"/>
    <w:rsid w:val="00B73CBD"/>
    <w:rsid w:val="00B75843"/>
    <w:rsid w:val="00B76092"/>
    <w:rsid w:val="00B8043C"/>
    <w:rsid w:val="00B8383D"/>
    <w:rsid w:val="00B84235"/>
    <w:rsid w:val="00B85DFE"/>
    <w:rsid w:val="00B863E0"/>
    <w:rsid w:val="00B867E6"/>
    <w:rsid w:val="00B932EF"/>
    <w:rsid w:val="00B942A6"/>
    <w:rsid w:val="00B97CF7"/>
    <w:rsid w:val="00BA12D9"/>
    <w:rsid w:val="00BA1B4C"/>
    <w:rsid w:val="00BA65CF"/>
    <w:rsid w:val="00BA7691"/>
    <w:rsid w:val="00BB16A4"/>
    <w:rsid w:val="00BC36B5"/>
    <w:rsid w:val="00BC57E8"/>
    <w:rsid w:val="00BC6DE5"/>
    <w:rsid w:val="00BC73FC"/>
    <w:rsid w:val="00BD4E40"/>
    <w:rsid w:val="00BD518D"/>
    <w:rsid w:val="00BD7BA1"/>
    <w:rsid w:val="00BE022B"/>
    <w:rsid w:val="00BE6B03"/>
    <w:rsid w:val="00BF11A1"/>
    <w:rsid w:val="00BF4A5D"/>
    <w:rsid w:val="00BF4D8D"/>
    <w:rsid w:val="00BF5378"/>
    <w:rsid w:val="00BF5E51"/>
    <w:rsid w:val="00BF6A2E"/>
    <w:rsid w:val="00BF6E46"/>
    <w:rsid w:val="00BF781A"/>
    <w:rsid w:val="00C03BAC"/>
    <w:rsid w:val="00C04AB8"/>
    <w:rsid w:val="00C06E6C"/>
    <w:rsid w:val="00C072B1"/>
    <w:rsid w:val="00C17F39"/>
    <w:rsid w:val="00C2057A"/>
    <w:rsid w:val="00C20FBA"/>
    <w:rsid w:val="00C27AB1"/>
    <w:rsid w:val="00C31C8D"/>
    <w:rsid w:val="00C32D11"/>
    <w:rsid w:val="00C33DFF"/>
    <w:rsid w:val="00C432C0"/>
    <w:rsid w:val="00C43C82"/>
    <w:rsid w:val="00C44121"/>
    <w:rsid w:val="00C44CD8"/>
    <w:rsid w:val="00C450E9"/>
    <w:rsid w:val="00C51FDE"/>
    <w:rsid w:val="00C54C45"/>
    <w:rsid w:val="00C57B22"/>
    <w:rsid w:val="00C6123A"/>
    <w:rsid w:val="00C634FC"/>
    <w:rsid w:val="00C643BD"/>
    <w:rsid w:val="00C729DB"/>
    <w:rsid w:val="00C7488D"/>
    <w:rsid w:val="00C75598"/>
    <w:rsid w:val="00C76520"/>
    <w:rsid w:val="00C82544"/>
    <w:rsid w:val="00C83138"/>
    <w:rsid w:val="00C85B3A"/>
    <w:rsid w:val="00C87B2D"/>
    <w:rsid w:val="00C9058F"/>
    <w:rsid w:val="00C90B3D"/>
    <w:rsid w:val="00C95F12"/>
    <w:rsid w:val="00CA5A1A"/>
    <w:rsid w:val="00CA5E65"/>
    <w:rsid w:val="00CB036F"/>
    <w:rsid w:val="00CB1BD6"/>
    <w:rsid w:val="00CB3309"/>
    <w:rsid w:val="00CB632A"/>
    <w:rsid w:val="00CB64F6"/>
    <w:rsid w:val="00CC1558"/>
    <w:rsid w:val="00CC4CE4"/>
    <w:rsid w:val="00CC5423"/>
    <w:rsid w:val="00CC71BE"/>
    <w:rsid w:val="00CD0F03"/>
    <w:rsid w:val="00CD252B"/>
    <w:rsid w:val="00CD41EC"/>
    <w:rsid w:val="00CE2A11"/>
    <w:rsid w:val="00CF1B7D"/>
    <w:rsid w:val="00CF56F7"/>
    <w:rsid w:val="00D012D8"/>
    <w:rsid w:val="00D0507C"/>
    <w:rsid w:val="00D106A5"/>
    <w:rsid w:val="00D10CE5"/>
    <w:rsid w:val="00D1456E"/>
    <w:rsid w:val="00D1606D"/>
    <w:rsid w:val="00D20C71"/>
    <w:rsid w:val="00D24E9C"/>
    <w:rsid w:val="00D26151"/>
    <w:rsid w:val="00D27093"/>
    <w:rsid w:val="00D27B8C"/>
    <w:rsid w:val="00D3009A"/>
    <w:rsid w:val="00D3121C"/>
    <w:rsid w:val="00D3166B"/>
    <w:rsid w:val="00D32714"/>
    <w:rsid w:val="00D334D3"/>
    <w:rsid w:val="00D34EBA"/>
    <w:rsid w:val="00D35E7D"/>
    <w:rsid w:val="00D422BE"/>
    <w:rsid w:val="00D42F5C"/>
    <w:rsid w:val="00D4789E"/>
    <w:rsid w:val="00D5201C"/>
    <w:rsid w:val="00D53618"/>
    <w:rsid w:val="00D545FF"/>
    <w:rsid w:val="00D57E99"/>
    <w:rsid w:val="00D615F3"/>
    <w:rsid w:val="00D71389"/>
    <w:rsid w:val="00D7330C"/>
    <w:rsid w:val="00D743C1"/>
    <w:rsid w:val="00D76850"/>
    <w:rsid w:val="00D851EF"/>
    <w:rsid w:val="00D876EC"/>
    <w:rsid w:val="00D93520"/>
    <w:rsid w:val="00D945E9"/>
    <w:rsid w:val="00D94F20"/>
    <w:rsid w:val="00D95E60"/>
    <w:rsid w:val="00D97324"/>
    <w:rsid w:val="00DA108D"/>
    <w:rsid w:val="00DA22D2"/>
    <w:rsid w:val="00DA4DED"/>
    <w:rsid w:val="00DB112E"/>
    <w:rsid w:val="00DB36E8"/>
    <w:rsid w:val="00DB49EB"/>
    <w:rsid w:val="00DB6665"/>
    <w:rsid w:val="00DB7908"/>
    <w:rsid w:val="00DC1842"/>
    <w:rsid w:val="00DC5649"/>
    <w:rsid w:val="00DC7097"/>
    <w:rsid w:val="00DD1566"/>
    <w:rsid w:val="00DD5BCB"/>
    <w:rsid w:val="00DE2052"/>
    <w:rsid w:val="00DE380F"/>
    <w:rsid w:val="00DE3989"/>
    <w:rsid w:val="00DE491A"/>
    <w:rsid w:val="00DE4EEF"/>
    <w:rsid w:val="00DE63C7"/>
    <w:rsid w:val="00DF28A0"/>
    <w:rsid w:val="00DF45C5"/>
    <w:rsid w:val="00E06EE5"/>
    <w:rsid w:val="00E079F1"/>
    <w:rsid w:val="00E1279F"/>
    <w:rsid w:val="00E14F71"/>
    <w:rsid w:val="00E16673"/>
    <w:rsid w:val="00E214DA"/>
    <w:rsid w:val="00E222AF"/>
    <w:rsid w:val="00E230D9"/>
    <w:rsid w:val="00E23446"/>
    <w:rsid w:val="00E23999"/>
    <w:rsid w:val="00E24199"/>
    <w:rsid w:val="00E24C75"/>
    <w:rsid w:val="00E3318E"/>
    <w:rsid w:val="00E33D9D"/>
    <w:rsid w:val="00E34253"/>
    <w:rsid w:val="00E41E0A"/>
    <w:rsid w:val="00E46F64"/>
    <w:rsid w:val="00E50B03"/>
    <w:rsid w:val="00E5430D"/>
    <w:rsid w:val="00E56014"/>
    <w:rsid w:val="00E56990"/>
    <w:rsid w:val="00E57723"/>
    <w:rsid w:val="00E629CE"/>
    <w:rsid w:val="00E65311"/>
    <w:rsid w:val="00E72F50"/>
    <w:rsid w:val="00E74542"/>
    <w:rsid w:val="00E8107C"/>
    <w:rsid w:val="00E82976"/>
    <w:rsid w:val="00E84241"/>
    <w:rsid w:val="00E84577"/>
    <w:rsid w:val="00E85673"/>
    <w:rsid w:val="00E8749E"/>
    <w:rsid w:val="00E874D3"/>
    <w:rsid w:val="00E87694"/>
    <w:rsid w:val="00E90687"/>
    <w:rsid w:val="00E912AD"/>
    <w:rsid w:val="00E91D6E"/>
    <w:rsid w:val="00E9474C"/>
    <w:rsid w:val="00E94807"/>
    <w:rsid w:val="00E97D62"/>
    <w:rsid w:val="00E97DC3"/>
    <w:rsid w:val="00E97EFC"/>
    <w:rsid w:val="00EA08B2"/>
    <w:rsid w:val="00EA2027"/>
    <w:rsid w:val="00EA5D54"/>
    <w:rsid w:val="00EA6877"/>
    <w:rsid w:val="00EA71D7"/>
    <w:rsid w:val="00EB09FB"/>
    <w:rsid w:val="00EB54E6"/>
    <w:rsid w:val="00EB56BE"/>
    <w:rsid w:val="00EB76E5"/>
    <w:rsid w:val="00EC0FBC"/>
    <w:rsid w:val="00EC727C"/>
    <w:rsid w:val="00EC72CE"/>
    <w:rsid w:val="00ED23ED"/>
    <w:rsid w:val="00ED384B"/>
    <w:rsid w:val="00ED4CAD"/>
    <w:rsid w:val="00ED6A6D"/>
    <w:rsid w:val="00EE1776"/>
    <w:rsid w:val="00EE77E6"/>
    <w:rsid w:val="00EF1845"/>
    <w:rsid w:val="00EF3ED8"/>
    <w:rsid w:val="00EF3F0F"/>
    <w:rsid w:val="00EF57AE"/>
    <w:rsid w:val="00EF6448"/>
    <w:rsid w:val="00EF680D"/>
    <w:rsid w:val="00EF7674"/>
    <w:rsid w:val="00EF7D84"/>
    <w:rsid w:val="00F0455E"/>
    <w:rsid w:val="00F13D27"/>
    <w:rsid w:val="00F145C1"/>
    <w:rsid w:val="00F1466D"/>
    <w:rsid w:val="00F20E66"/>
    <w:rsid w:val="00F23922"/>
    <w:rsid w:val="00F2687A"/>
    <w:rsid w:val="00F27AD7"/>
    <w:rsid w:val="00F31F06"/>
    <w:rsid w:val="00F3464E"/>
    <w:rsid w:val="00F36886"/>
    <w:rsid w:val="00F41061"/>
    <w:rsid w:val="00F42E6D"/>
    <w:rsid w:val="00F43E48"/>
    <w:rsid w:val="00F440BE"/>
    <w:rsid w:val="00F441C6"/>
    <w:rsid w:val="00F507AA"/>
    <w:rsid w:val="00F50AF7"/>
    <w:rsid w:val="00F50C66"/>
    <w:rsid w:val="00F526E5"/>
    <w:rsid w:val="00F553DB"/>
    <w:rsid w:val="00F65520"/>
    <w:rsid w:val="00F673C4"/>
    <w:rsid w:val="00F71427"/>
    <w:rsid w:val="00F76D13"/>
    <w:rsid w:val="00F83EA6"/>
    <w:rsid w:val="00F83ED7"/>
    <w:rsid w:val="00F95C96"/>
    <w:rsid w:val="00F96746"/>
    <w:rsid w:val="00FA1F9A"/>
    <w:rsid w:val="00FA2249"/>
    <w:rsid w:val="00FA24B8"/>
    <w:rsid w:val="00FA7053"/>
    <w:rsid w:val="00FA732C"/>
    <w:rsid w:val="00FB0EBA"/>
    <w:rsid w:val="00FB3095"/>
    <w:rsid w:val="00FB372D"/>
    <w:rsid w:val="00FB5A50"/>
    <w:rsid w:val="00FC0A61"/>
    <w:rsid w:val="00FC3355"/>
    <w:rsid w:val="00FC34D1"/>
    <w:rsid w:val="00FC5970"/>
    <w:rsid w:val="00FC7539"/>
    <w:rsid w:val="00FC7F73"/>
    <w:rsid w:val="00FD38A4"/>
    <w:rsid w:val="00FE0107"/>
    <w:rsid w:val="00FE1410"/>
    <w:rsid w:val="00FE39F8"/>
    <w:rsid w:val="00FE3FDC"/>
    <w:rsid w:val="00FE4356"/>
    <w:rsid w:val="00FE4B8F"/>
    <w:rsid w:val="00FE5A9C"/>
    <w:rsid w:val="00FE7181"/>
    <w:rsid w:val="00FF09BA"/>
    <w:rsid w:val="00FF508E"/>
    <w:rsid w:val="00FF5418"/>
    <w:rsid w:val="00FF64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2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98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2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98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4CFD-9EC4-4863-AD34-A58D1E21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3520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Cahová Lenka</cp:lastModifiedBy>
  <cp:revision>4</cp:revision>
  <cp:lastPrinted>2014-08-13T11:18:00Z</cp:lastPrinted>
  <dcterms:created xsi:type="dcterms:W3CDTF">2016-06-22T07:47:00Z</dcterms:created>
  <dcterms:modified xsi:type="dcterms:W3CDTF">2016-07-11T08:53:00Z</dcterms:modified>
</cp:coreProperties>
</file>